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EB11" w14:textId="77777777" w:rsidR="008775C5" w:rsidRDefault="00B273C4" w:rsidP="00B273C4">
      <w:pPr>
        <w:rPr>
          <w:rFonts w:ascii="Arial" w:hAnsi="Arial" w:cs="Arial"/>
          <w:sz w:val="28"/>
          <w:szCs w:val="28"/>
          <w:lang w:val="en-AU"/>
        </w:rPr>
      </w:pPr>
      <w:r>
        <w:rPr>
          <w:rFonts w:ascii="Arial" w:hAnsi="Arial" w:cs="Arial"/>
          <w:sz w:val="28"/>
          <w:szCs w:val="28"/>
          <w:lang w:val="en-AU"/>
        </w:rPr>
        <w:t>QUAKER PEACE AND LEGISL</w:t>
      </w:r>
      <w:r w:rsidRPr="00B273C4">
        <w:rPr>
          <w:rFonts w:ascii="Arial" w:hAnsi="Arial" w:cs="Arial"/>
          <w:sz w:val="28"/>
          <w:szCs w:val="28"/>
          <w:lang w:val="en-AU"/>
        </w:rPr>
        <w:t>ATION COMMITTEE</w:t>
      </w:r>
      <w:r w:rsidRPr="00B273C4">
        <w:rPr>
          <w:rFonts w:ascii="Arial" w:hAnsi="Arial" w:cs="Arial"/>
          <w:sz w:val="28"/>
          <w:szCs w:val="28"/>
          <w:lang w:val="en-AU"/>
        </w:rPr>
        <w:br/>
      </w:r>
      <w:r w:rsidRPr="00B273C4">
        <w:rPr>
          <w:rFonts w:ascii="Arial" w:hAnsi="Arial" w:cs="Arial"/>
          <w:sz w:val="28"/>
          <w:szCs w:val="28"/>
          <w:lang w:val="en-AU"/>
        </w:rPr>
        <w:br/>
        <w:t>ISRAEL/P</w:t>
      </w:r>
      <w:r>
        <w:rPr>
          <w:rFonts w:ascii="Arial" w:hAnsi="Arial" w:cs="Arial"/>
          <w:sz w:val="28"/>
          <w:szCs w:val="28"/>
          <w:lang w:val="en-AU"/>
        </w:rPr>
        <w:t>A</w:t>
      </w:r>
      <w:r w:rsidRPr="00B273C4">
        <w:rPr>
          <w:rFonts w:ascii="Arial" w:hAnsi="Arial" w:cs="Arial"/>
          <w:sz w:val="28"/>
          <w:szCs w:val="28"/>
          <w:lang w:val="en-AU"/>
        </w:rPr>
        <w:t>LESTINE – WATCHING BRIEF</w:t>
      </w:r>
    </w:p>
    <w:p w14:paraId="61CBD4F9" w14:textId="77777777" w:rsidR="00B273C4" w:rsidRDefault="00B273C4" w:rsidP="00B273C4">
      <w:pPr>
        <w:rPr>
          <w:rFonts w:ascii="Arial" w:hAnsi="Arial" w:cs="Arial"/>
          <w:sz w:val="28"/>
          <w:szCs w:val="28"/>
          <w:lang w:val="en-AU"/>
        </w:rPr>
      </w:pPr>
    </w:p>
    <w:p w14:paraId="63B64094" w14:textId="77777777" w:rsidR="00B273C4" w:rsidRPr="002B0E6A" w:rsidRDefault="00B273C4" w:rsidP="00B273C4">
      <w:pPr>
        <w:rPr>
          <w:rFonts w:ascii="Arial" w:hAnsi="Arial" w:cs="Arial"/>
          <w:i/>
          <w:sz w:val="24"/>
          <w:szCs w:val="24"/>
          <w:lang w:val="en-AU"/>
        </w:rPr>
      </w:pPr>
      <w:r w:rsidRPr="002B0E6A">
        <w:rPr>
          <w:rFonts w:ascii="Arial" w:hAnsi="Arial" w:cs="Arial"/>
          <w:i/>
          <w:sz w:val="24"/>
          <w:szCs w:val="24"/>
          <w:lang w:val="en-AU"/>
        </w:rPr>
        <w:t>This Brief follows the earlier ones (especially 20</w:t>
      </w:r>
      <w:r w:rsidR="00BF53D9">
        <w:rPr>
          <w:rFonts w:ascii="Arial" w:hAnsi="Arial" w:cs="Arial"/>
          <w:i/>
          <w:sz w:val="24"/>
          <w:szCs w:val="24"/>
          <w:lang w:val="en-AU"/>
        </w:rPr>
        <w:t>-</w:t>
      </w:r>
      <w:r w:rsidRPr="002B0E6A">
        <w:rPr>
          <w:rFonts w:ascii="Arial" w:hAnsi="Arial" w:cs="Arial"/>
          <w:i/>
          <w:sz w:val="24"/>
          <w:szCs w:val="24"/>
          <w:lang w:val="en-AU"/>
        </w:rPr>
        <w:t>12) which outlined the history of the region and the conflicts over the future of Palestine.</w:t>
      </w:r>
      <w:r w:rsidR="002B0E6A" w:rsidRPr="002B0E6A">
        <w:rPr>
          <w:rFonts w:ascii="Arial" w:hAnsi="Arial" w:cs="Arial"/>
          <w:i/>
          <w:sz w:val="24"/>
          <w:szCs w:val="24"/>
          <w:lang w:val="en-AU"/>
        </w:rPr>
        <w:t xml:space="preserve"> A recent discussion between APAN and QPLC has raised a number of issues relevant to Quakers.</w:t>
      </w:r>
      <w:r w:rsidR="00FA3C80">
        <w:rPr>
          <w:rFonts w:ascii="Arial" w:hAnsi="Arial" w:cs="Arial"/>
          <w:i/>
          <w:sz w:val="24"/>
          <w:szCs w:val="24"/>
          <w:lang w:val="en-AU"/>
        </w:rPr>
        <w:t xml:space="preserve"> Suggested actions are included in this Brief.</w:t>
      </w:r>
    </w:p>
    <w:p w14:paraId="61D84BB9" w14:textId="77777777" w:rsidR="00B273C4" w:rsidRPr="002B0E6A" w:rsidRDefault="00B273C4" w:rsidP="00B273C4">
      <w:pPr>
        <w:rPr>
          <w:rFonts w:ascii="Arial" w:hAnsi="Arial" w:cs="Arial"/>
          <w:i/>
          <w:sz w:val="24"/>
          <w:szCs w:val="24"/>
          <w:lang w:val="en-AU"/>
        </w:rPr>
      </w:pPr>
    </w:p>
    <w:p w14:paraId="41DDEFDE" w14:textId="77777777" w:rsidR="00B273C4" w:rsidRPr="00AC188A" w:rsidRDefault="00B273C4" w:rsidP="00B273C4">
      <w:pPr>
        <w:rPr>
          <w:rFonts w:ascii="Arial" w:hAnsi="Arial" w:cs="Arial"/>
          <w:b/>
          <w:sz w:val="24"/>
          <w:szCs w:val="24"/>
          <w:lang w:val="en-AU"/>
        </w:rPr>
      </w:pPr>
      <w:r w:rsidRPr="00AC188A">
        <w:rPr>
          <w:rFonts w:ascii="Arial" w:hAnsi="Arial" w:cs="Arial"/>
          <w:b/>
          <w:sz w:val="24"/>
          <w:szCs w:val="24"/>
          <w:lang w:val="en-AU"/>
        </w:rPr>
        <w:t>Recent Developments</w:t>
      </w:r>
    </w:p>
    <w:p w14:paraId="7A47F48E" w14:textId="77777777" w:rsidR="00B273C4" w:rsidRDefault="00B273C4" w:rsidP="00B273C4">
      <w:pPr>
        <w:rPr>
          <w:rFonts w:ascii="Arial" w:hAnsi="Arial" w:cs="Arial"/>
          <w:sz w:val="24"/>
          <w:szCs w:val="24"/>
          <w:lang w:val="en-AU"/>
        </w:rPr>
      </w:pPr>
    </w:p>
    <w:p w14:paraId="357DF4C8" w14:textId="77777777" w:rsidR="00B273C4" w:rsidRDefault="00B273C4" w:rsidP="00B273C4">
      <w:pPr>
        <w:rPr>
          <w:rFonts w:ascii="Arial" w:hAnsi="Arial" w:cs="Arial"/>
          <w:sz w:val="24"/>
          <w:szCs w:val="24"/>
          <w:lang w:val="en-AU"/>
        </w:rPr>
      </w:pPr>
      <w:r>
        <w:rPr>
          <w:rFonts w:ascii="Arial" w:hAnsi="Arial" w:cs="Arial"/>
          <w:sz w:val="24"/>
          <w:szCs w:val="24"/>
          <w:lang w:val="en-AU"/>
        </w:rPr>
        <w:t xml:space="preserve">The </w:t>
      </w:r>
      <w:r w:rsidRPr="00AC188A">
        <w:rPr>
          <w:rFonts w:ascii="Arial" w:hAnsi="Arial" w:cs="Arial"/>
          <w:sz w:val="24"/>
          <w:szCs w:val="24"/>
          <w:u w:val="single"/>
          <w:lang w:val="en-AU"/>
        </w:rPr>
        <w:t>Australia Palestine Advocacy Network</w:t>
      </w:r>
      <w:r>
        <w:rPr>
          <w:rFonts w:ascii="Arial" w:hAnsi="Arial" w:cs="Arial"/>
          <w:sz w:val="24"/>
          <w:szCs w:val="24"/>
          <w:lang w:val="en-AU"/>
        </w:rPr>
        <w:t xml:space="preserve"> (APAN), of which Australian Quakers are members, highlighted in its approach to candidates during the federal election campaign the following suggested action:</w:t>
      </w:r>
    </w:p>
    <w:p w14:paraId="3C24669C" w14:textId="77777777" w:rsidR="00B273C4" w:rsidRDefault="00B273C4" w:rsidP="00B273C4">
      <w:pPr>
        <w:rPr>
          <w:rFonts w:ascii="Arial" w:hAnsi="Arial" w:cs="Arial"/>
          <w:sz w:val="24"/>
          <w:szCs w:val="24"/>
          <w:lang w:val="en-AU"/>
        </w:rPr>
      </w:pPr>
    </w:p>
    <w:p w14:paraId="5B815339" w14:textId="77777777" w:rsidR="00B273C4" w:rsidRPr="003E2082" w:rsidRDefault="00B273C4" w:rsidP="00B273C4">
      <w:pPr>
        <w:numPr>
          <w:ilvl w:val="0"/>
          <w:numId w:val="43"/>
        </w:numPr>
        <w:rPr>
          <w:rFonts w:ascii="Arial" w:hAnsi="Arial" w:cs="Arial"/>
          <w:sz w:val="22"/>
          <w:szCs w:val="22"/>
          <w:lang w:val="en-AU"/>
        </w:rPr>
      </w:pPr>
      <w:r w:rsidRPr="003E2082">
        <w:rPr>
          <w:rFonts w:ascii="Arial" w:hAnsi="Arial" w:cs="Arial"/>
          <w:sz w:val="22"/>
          <w:szCs w:val="22"/>
          <w:lang w:val="en-AU"/>
        </w:rPr>
        <w:t>Advocate that Australia should join 138 other countries and formally recognise Palestine, giving them diplomatic equality with other nations.</w:t>
      </w:r>
    </w:p>
    <w:p w14:paraId="0B62A8C6" w14:textId="77777777" w:rsidR="00B273C4" w:rsidRPr="003E2082" w:rsidRDefault="00B273C4" w:rsidP="00B273C4">
      <w:pPr>
        <w:numPr>
          <w:ilvl w:val="0"/>
          <w:numId w:val="43"/>
        </w:numPr>
        <w:rPr>
          <w:rFonts w:ascii="Arial" w:hAnsi="Arial" w:cs="Arial"/>
          <w:sz w:val="22"/>
          <w:szCs w:val="22"/>
          <w:lang w:val="en-AU"/>
        </w:rPr>
      </w:pPr>
      <w:r w:rsidRPr="003E2082">
        <w:rPr>
          <w:rFonts w:ascii="Arial" w:hAnsi="Arial" w:cs="Arial"/>
          <w:sz w:val="22"/>
          <w:szCs w:val="22"/>
          <w:lang w:val="en-AU"/>
        </w:rPr>
        <w:t xml:space="preserve">Speak out against Israeli human rights abuses, including the expansion </w:t>
      </w:r>
      <w:r w:rsidR="00500F69" w:rsidRPr="003E2082">
        <w:rPr>
          <w:rFonts w:ascii="Arial" w:hAnsi="Arial" w:cs="Arial"/>
          <w:sz w:val="22"/>
          <w:szCs w:val="22"/>
          <w:lang w:val="en-AU"/>
        </w:rPr>
        <w:t>o</w:t>
      </w:r>
      <w:r w:rsidRPr="003E2082">
        <w:rPr>
          <w:rFonts w:ascii="Arial" w:hAnsi="Arial" w:cs="Arial"/>
          <w:sz w:val="22"/>
          <w:szCs w:val="22"/>
          <w:lang w:val="en-AU"/>
        </w:rPr>
        <w:t>f settlements on stolen land, the blockade of Gaza, and traumatic treatment of Palestinian children by the Israeli military.</w:t>
      </w:r>
    </w:p>
    <w:p w14:paraId="62F15918" w14:textId="77777777" w:rsidR="001A1109" w:rsidRPr="003E2082" w:rsidRDefault="001A1109" w:rsidP="00B273C4">
      <w:pPr>
        <w:numPr>
          <w:ilvl w:val="0"/>
          <w:numId w:val="43"/>
        </w:numPr>
        <w:rPr>
          <w:rFonts w:ascii="Arial" w:hAnsi="Arial" w:cs="Arial"/>
          <w:sz w:val="22"/>
          <w:szCs w:val="22"/>
          <w:lang w:val="en-AU"/>
        </w:rPr>
      </w:pPr>
      <w:r w:rsidRPr="003E2082">
        <w:rPr>
          <w:rFonts w:ascii="Arial" w:hAnsi="Arial" w:cs="Arial"/>
          <w:sz w:val="22"/>
          <w:szCs w:val="22"/>
          <w:lang w:val="en-AU"/>
        </w:rPr>
        <w:t>If travelling in the region, spend as much time in Palestine as in Israel.</w:t>
      </w:r>
    </w:p>
    <w:p w14:paraId="5FF3CB27" w14:textId="77777777" w:rsidR="001A1109" w:rsidRPr="003E2082" w:rsidRDefault="001A1109" w:rsidP="00B273C4">
      <w:pPr>
        <w:numPr>
          <w:ilvl w:val="0"/>
          <w:numId w:val="43"/>
        </w:numPr>
        <w:rPr>
          <w:rFonts w:ascii="Arial" w:hAnsi="Arial" w:cs="Arial"/>
          <w:sz w:val="22"/>
          <w:szCs w:val="22"/>
          <w:lang w:val="en-AU"/>
        </w:rPr>
      </w:pPr>
      <w:r w:rsidRPr="003E2082">
        <w:rPr>
          <w:rFonts w:ascii="Arial" w:hAnsi="Arial" w:cs="Arial"/>
          <w:sz w:val="22"/>
          <w:szCs w:val="22"/>
          <w:lang w:val="en-AU"/>
        </w:rPr>
        <w:t>Commit to participating in the Parliamentary Friends of Palestine group.</w:t>
      </w:r>
    </w:p>
    <w:p w14:paraId="26C5846A" w14:textId="77777777" w:rsidR="00AC188A" w:rsidRDefault="00AC188A" w:rsidP="00AC188A">
      <w:pPr>
        <w:rPr>
          <w:rFonts w:ascii="Arial" w:hAnsi="Arial" w:cs="Arial"/>
          <w:sz w:val="24"/>
          <w:szCs w:val="24"/>
          <w:lang w:val="en-AU"/>
        </w:rPr>
      </w:pPr>
    </w:p>
    <w:p w14:paraId="0275A9E8" w14:textId="77777777" w:rsidR="00ED5CE4" w:rsidRDefault="00ED5CE4" w:rsidP="00AC188A">
      <w:pPr>
        <w:rPr>
          <w:rFonts w:ascii="Arial" w:hAnsi="Arial" w:cs="Arial"/>
          <w:sz w:val="24"/>
          <w:szCs w:val="24"/>
          <w:lang w:val="en-AU"/>
        </w:rPr>
      </w:pPr>
      <w:r>
        <w:rPr>
          <w:rFonts w:ascii="Arial" w:hAnsi="Arial" w:cs="Arial"/>
          <w:sz w:val="24"/>
          <w:szCs w:val="24"/>
          <w:lang w:val="en-AU"/>
        </w:rPr>
        <w:t xml:space="preserve">APAN issued a media release on 14 April 2022 pointing out that the Australian government is out of touch with bulk of the Australian public. A recent national </w:t>
      </w:r>
      <w:r w:rsidRPr="00ED5CE4">
        <w:rPr>
          <w:rFonts w:ascii="Arial" w:hAnsi="Arial" w:cs="Arial"/>
          <w:i/>
          <w:sz w:val="24"/>
          <w:szCs w:val="24"/>
          <w:lang w:val="en-AU"/>
        </w:rPr>
        <w:t>YouGov</w:t>
      </w:r>
      <w:r>
        <w:rPr>
          <w:rFonts w:ascii="Arial" w:hAnsi="Arial" w:cs="Arial"/>
          <w:sz w:val="24"/>
          <w:szCs w:val="24"/>
          <w:lang w:val="en-AU"/>
        </w:rPr>
        <w:t xml:space="preserve"> poll </w:t>
      </w:r>
      <w:r w:rsidR="00A20B00">
        <w:rPr>
          <w:rFonts w:ascii="Arial" w:hAnsi="Arial" w:cs="Arial"/>
          <w:sz w:val="24"/>
          <w:szCs w:val="24"/>
          <w:lang w:val="en-AU"/>
        </w:rPr>
        <w:t xml:space="preserve">(commissioned by APAN and Australian Friends of Palestine) </w:t>
      </w:r>
      <w:r>
        <w:rPr>
          <w:rFonts w:ascii="Arial" w:hAnsi="Arial" w:cs="Arial"/>
          <w:sz w:val="24"/>
          <w:szCs w:val="24"/>
          <w:lang w:val="en-AU"/>
        </w:rPr>
        <w:t>found that a majority believe Palestine should be recognised as</w:t>
      </w:r>
      <w:r w:rsidR="00A20B00">
        <w:rPr>
          <w:rFonts w:ascii="Arial" w:hAnsi="Arial" w:cs="Arial"/>
          <w:sz w:val="24"/>
          <w:szCs w:val="24"/>
          <w:lang w:val="en-AU"/>
        </w:rPr>
        <w:t xml:space="preserve"> an indep</w:t>
      </w:r>
      <w:r>
        <w:rPr>
          <w:rFonts w:ascii="Arial" w:hAnsi="Arial" w:cs="Arial"/>
          <w:sz w:val="24"/>
          <w:szCs w:val="24"/>
          <w:lang w:val="en-AU"/>
        </w:rPr>
        <w:t xml:space="preserve">endent state, and oppose the current approach of the government towards the occupied territories, and the siege on Gaza. The president of APAN, Bishop George Browning, said that “it’s also clear these opinions cross political affiliations, with the majority of </w:t>
      </w:r>
      <w:proofErr w:type="spellStart"/>
      <w:r>
        <w:rPr>
          <w:rFonts w:ascii="Arial" w:hAnsi="Arial" w:cs="Arial"/>
          <w:sz w:val="24"/>
          <w:szCs w:val="24"/>
          <w:lang w:val="en-AU"/>
        </w:rPr>
        <w:t>Labor</w:t>
      </w:r>
      <w:proofErr w:type="spellEnd"/>
      <w:r>
        <w:rPr>
          <w:rFonts w:ascii="Arial" w:hAnsi="Arial" w:cs="Arial"/>
          <w:sz w:val="24"/>
          <w:szCs w:val="24"/>
          <w:lang w:val="en-AU"/>
        </w:rPr>
        <w:t xml:space="preserve"> (62%), Coalition (54%) and Greens (79%) voters believing the Australian Government should call on Israel to end its apartheid, or work with international human rights groups for a solution”.</w:t>
      </w:r>
      <w:r w:rsidR="00920A3A">
        <w:rPr>
          <w:rFonts w:ascii="Arial" w:hAnsi="Arial" w:cs="Arial"/>
          <w:sz w:val="24"/>
          <w:szCs w:val="24"/>
          <w:lang w:val="en-AU"/>
        </w:rPr>
        <w:t xml:space="preserve"> See </w:t>
      </w:r>
      <w:hyperlink r:id="rId7" w:history="1">
        <w:r w:rsidR="00920A3A" w:rsidRPr="00E22928">
          <w:rPr>
            <w:rStyle w:val="Hyperlink"/>
            <w:rFonts w:ascii="Arial" w:hAnsi="Arial" w:cs="Arial"/>
            <w:sz w:val="24"/>
            <w:szCs w:val="24"/>
            <w:lang w:val="en-AU"/>
          </w:rPr>
          <w:t>https://au.yougov.com/results/apc</w:t>
        </w:r>
      </w:hyperlink>
    </w:p>
    <w:p w14:paraId="7703E31F" w14:textId="77777777" w:rsidR="00920A3A" w:rsidRDefault="00920A3A" w:rsidP="00AC188A">
      <w:pPr>
        <w:rPr>
          <w:rFonts w:ascii="Arial" w:hAnsi="Arial" w:cs="Arial"/>
          <w:sz w:val="24"/>
          <w:szCs w:val="24"/>
          <w:lang w:val="en-AU"/>
        </w:rPr>
      </w:pPr>
    </w:p>
    <w:p w14:paraId="6B2D2528" w14:textId="77777777" w:rsidR="00AC188A" w:rsidRDefault="00AC188A" w:rsidP="00AC188A">
      <w:pPr>
        <w:rPr>
          <w:rFonts w:ascii="Arial" w:hAnsi="Arial" w:cs="Arial"/>
          <w:sz w:val="24"/>
          <w:szCs w:val="24"/>
          <w:lang w:val="en-AU"/>
        </w:rPr>
      </w:pPr>
      <w:r>
        <w:rPr>
          <w:rFonts w:ascii="Arial" w:hAnsi="Arial" w:cs="Arial"/>
          <w:sz w:val="24"/>
          <w:szCs w:val="24"/>
          <w:lang w:val="en-AU"/>
        </w:rPr>
        <w:t xml:space="preserve">The </w:t>
      </w:r>
      <w:r w:rsidRPr="00AC188A">
        <w:rPr>
          <w:rFonts w:ascii="Arial" w:hAnsi="Arial" w:cs="Arial"/>
          <w:sz w:val="24"/>
          <w:szCs w:val="24"/>
          <w:u w:val="single"/>
          <w:lang w:val="en-AU"/>
        </w:rPr>
        <w:t>International Criminal Court</w:t>
      </w:r>
      <w:r>
        <w:rPr>
          <w:rFonts w:ascii="Arial" w:hAnsi="Arial" w:cs="Arial"/>
          <w:sz w:val="24"/>
          <w:szCs w:val="24"/>
          <w:lang w:val="en-AU"/>
        </w:rPr>
        <w:t xml:space="preserve"> (ICC) in March 2021 began an investigation into war crimes in the Occupied Territories, especially the excess</w:t>
      </w:r>
      <w:r w:rsidR="00533E55">
        <w:rPr>
          <w:rFonts w:ascii="Arial" w:hAnsi="Arial" w:cs="Arial"/>
          <w:sz w:val="24"/>
          <w:szCs w:val="24"/>
          <w:lang w:val="en-AU"/>
        </w:rPr>
        <w:t xml:space="preserve"> of vi</w:t>
      </w:r>
      <w:r>
        <w:rPr>
          <w:rFonts w:ascii="Arial" w:hAnsi="Arial" w:cs="Arial"/>
          <w:sz w:val="24"/>
          <w:szCs w:val="24"/>
          <w:lang w:val="en-AU"/>
        </w:rPr>
        <w:t>olence exercised by the Israeli Defence Forces and the intensive settlement policies of the Israeli government</w:t>
      </w:r>
      <w:r w:rsidR="00B43283">
        <w:rPr>
          <w:rFonts w:ascii="Arial" w:hAnsi="Arial" w:cs="Arial"/>
          <w:sz w:val="24"/>
          <w:szCs w:val="24"/>
          <w:lang w:val="en-AU"/>
        </w:rPr>
        <w:t xml:space="preserve">. </w:t>
      </w:r>
      <w:r w:rsidR="00617F72">
        <w:rPr>
          <w:rFonts w:ascii="Arial" w:hAnsi="Arial" w:cs="Arial"/>
          <w:sz w:val="24"/>
          <w:szCs w:val="24"/>
          <w:lang w:val="en-AU"/>
        </w:rPr>
        <w:t xml:space="preserve">As yet the Israeli government has not responded to the allegations. </w:t>
      </w:r>
      <w:r w:rsidR="00B43283">
        <w:rPr>
          <w:rFonts w:ascii="Arial" w:hAnsi="Arial" w:cs="Arial"/>
          <w:sz w:val="24"/>
          <w:szCs w:val="24"/>
          <w:lang w:val="en-AU"/>
        </w:rPr>
        <w:t xml:space="preserve">Reporting for </w:t>
      </w:r>
      <w:r w:rsidR="00B43283" w:rsidRPr="00B43283">
        <w:rPr>
          <w:rFonts w:ascii="Arial" w:hAnsi="Arial" w:cs="Arial"/>
          <w:i/>
          <w:sz w:val="24"/>
          <w:szCs w:val="24"/>
          <w:lang w:val="en-AU"/>
        </w:rPr>
        <w:t>Human R</w:t>
      </w:r>
      <w:r w:rsidRPr="00B43283">
        <w:rPr>
          <w:rFonts w:ascii="Arial" w:hAnsi="Arial" w:cs="Arial"/>
          <w:i/>
          <w:sz w:val="24"/>
          <w:szCs w:val="24"/>
          <w:lang w:val="en-AU"/>
        </w:rPr>
        <w:t>ights Pulse</w:t>
      </w:r>
      <w:r w:rsidR="00B43283">
        <w:rPr>
          <w:rFonts w:ascii="Arial" w:hAnsi="Arial" w:cs="Arial"/>
          <w:sz w:val="24"/>
          <w:szCs w:val="24"/>
          <w:lang w:val="en-AU"/>
        </w:rPr>
        <w:t xml:space="preserve"> at the time, Laura </w:t>
      </w:r>
      <w:proofErr w:type="spellStart"/>
      <w:r w:rsidR="00B43283">
        <w:rPr>
          <w:rFonts w:ascii="Arial" w:hAnsi="Arial" w:cs="Arial"/>
          <w:sz w:val="24"/>
          <w:szCs w:val="24"/>
          <w:lang w:val="en-AU"/>
        </w:rPr>
        <w:t>Sanzarella</w:t>
      </w:r>
      <w:proofErr w:type="spellEnd"/>
      <w:r w:rsidR="00B43283">
        <w:rPr>
          <w:rFonts w:ascii="Arial" w:hAnsi="Arial" w:cs="Arial"/>
          <w:sz w:val="24"/>
          <w:szCs w:val="24"/>
          <w:lang w:val="en-AU"/>
        </w:rPr>
        <w:t xml:space="preserve"> drew attention to the 1500 Palest</w:t>
      </w:r>
      <w:r>
        <w:rPr>
          <w:rFonts w:ascii="Arial" w:hAnsi="Arial" w:cs="Arial"/>
          <w:sz w:val="24"/>
          <w:szCs w:val="24"/>
          <w:lang w:val="en-AU"/>
        </w:rPr>
        <w:t xml:space="preserve">inians killed </w:t>
      </w:r>
      <w:r w:rsidR="00B43283">
        <w:rPr>
          <w:rFonts w:ascii="Arial" w:hAnsi="Arial" w:cs="Arial"/>
          <w:sz w:val="24"/>
          <w:szCs w:val="24"/>
          <w:lang w:val="en-AU"/>
        </w:rPr>
        <w:t xml:space="preserve">and 6000 injuries </w:t>
      </w:r>
      <w:r>
        <w:rPr>
          <w:rFonts w:ascii="Arial" w:hAnsi="Arial" w:cs="Arial"/>
          <w:sz w:val="24"/>
          <w:szCs w:val="24"/>
          <w:lang w:val="en-AU"/>
        </w:rPr>
        <w:t>during the Gaza War, and the destruction of hospitals and infrastru</w:t>
      </w:r>
      <w:r w:rsidR="00B43283">
        <w:rPr>
          <w:rFonts w:ascii="Arial" w:hAnsi="Arial" w:cs="Arial"/>
          <w:sz w:val="24"/>
          <w:szCs w:val="24"/>
          <w:lang w:val="en-AU"/>
        </w:rPr>
        <w:t>cture and many houses by Israeli</w:t>
      </w:r>
      <w:r>
        <w:rPr>
          <w:rFonts w:ascii="Arial" w:hAnsi="Arial" w:cs="Arial"/>
          <w:sz w:val="24"/>
          <w:szCs w:val="24"/>
          <w:lang w:val="en-AU"/>
        </w:rPr>
        <w:t xml:space="preserve"> airstrikes.</w:t>
      </w:r>
      <w:r w:rsidR="00533E55">
        <w:rPr>
          <w:rFonts w:ascii="Arial" w:hAnsi="Arial" w:cs="Arial"/>
          <w:sz w:val="24"/>
          <w:szCs w:val="24"/>
          <w:lang w:val="en-AU"/>
        </w:rPr>
        <w:t xml:space="preserve"> She also noted that the ICC would look into the indiscriminate firing of rockets by Hamas into Israeli communities.</w:t>
      </w:r>
      <w:r w:rsidR="00AD2974">
        <w:rPr>
          <w:rFonts w:ascii="Arial" w:hAnsi="Arial" w:cs="Arial"/>
          <w:sz w:val="24"/>
          <w:szCs w:val="24"/>
          <w:lang w:val="en-AU"/>
        </w:rPr>
        <w:t xml:space="preserve"> Despite opposition from Israel and the USA, the ICC sees the purpose of the investigation as removing the sense of impunity amidst Israeli troops, and to bring some accountability for the serious violence in the region.</w:t>
      </w:r>
    </w:p>
    <w:p w14:paraId="3DF75AE7" w14:textId="77777777" w:rsidR="00667CA5" w:rsidRDefault="00667CA5" w:rsidP="00AC188A">
      <w:pPr>
        <w:rPr>
          <w:rFonts w:ascii="Arial" w:hAnsi="Arial" w:cs="Arial"/>
          <w:sz w:val="24"/>
          <w:szCs w:val="24"/>
          <w:lang w:val="en-AU"/>
        </w:rPr>
      </w:pPr>
    </w:p>
    <w:p w14:paraId="556734FF" w14:textId="77777777" w:rsidR="00DC2EAD" w:rsidRDefault="00DC2EAD" w:rsidP="00AC188A">
      <w:pPr>
        <w:rPr>
          <w:rFonts w:ascii="Arial" w:hAnsi="Arial" w:cs="Arial"/>
          <w:sz w:val="24"/>
          <w:szCs w:val="24"/>
          <w:lang w:val="en-AU"/>
        </w:rPr>
      </w:pPr>
      <w:r>
        <w:rPr>
          <w:rFonts w:ascii="Arial" w:hAnsi="Arial" w:cs="Arial"/>
          <w:sz w:val="24"/>
          <w:szCs w:val="24"/>
          <w:lang w:val="en-AU"/>
        </w:rPr>
        <w:t xml:space="preserve">The </w:t>
      </w:r>
      <w:r w:rsidRPr="00413EF8">
        <w:rPr>
          <w:rFonts w:ascii="Arial" w:hAnsi="Arial" w:cs="Arial"/>
          <w:sz w:val="24"/>
          <w:szCs w:val="24"/>
          <w:u w:val="single"/>
          <w:lang w:val="en-AU"/>
        </w:rPr>
        <w:t>I</w:t>
      </w:r>
      <w:r w:rsidR="00C4247A" w:rsidRPr="00413EF8">
        <w:rPr>
          <w:rFonts w:ascii="Arial" w:hAnsi="Arial" w:cs="Arial"/>
          <w:sz w:val="24"/>
          <w:szCs w:val="24"/>
          <w:u w:val="single"/>
          <w:lang w:val="en-AU"/>
        </w:rPr>
        <w:t>sraeli</w:t>
      </w:r>
      <w:r w:rsidRPr="00413EF8">
        <w:rPr>
          <w:rFonts w:ascii="Arial" w:hAnsi="Arial" w:cs="Arial"/>
          <w:sz w:val="24"/>
          <w:szCs w:val="24"/>
          <w:u w:val="single"/>
          <w:lang w:val="en-AU"/>
        </w:rPr>
        <w:t xml:space="preserve"> High Court</w:t>
      </w:r>
      <w:r>
        <w:rPr>
          <w:rFonts w:ascii="Arial" w:hAnsi="Arial" w:cs="Arial"/>
          <w:sz w:val="24"/>
          <w:szCs w:val="24"/>
          <w:lang w:val="en-AU"/>
        </w:rPr>
        <w:t xml:space="preserve"> ruled in</w:t>
      </w:r>
      <w:r w:rsidR="00C4247A">
        <w:rPr>
          <w:rFonts w:ascii="Arial" w:hAnsi="Arial" w:cs="Arial"/>
          <w:sz w:val="24"/>
          <w:szCs w:val="24"/>
          <w:lang w:val="en-AU"/>
        </w:rPr>
        <w:t xml:space="preserve"> </w:t>
      </w:r>
      <w:r>
        <w:rPr>
          <w:rFonts w:ascii="Arial" w:hAnsi="Arial" w:cs="Arial"/>
          <w:sz w:val="24"/>
          <w:szCs w:val="24"/>
          <w:lang w:val="en-AU"/>
        </w:rPr>
        <w:t xml:space="preserve">early May 2022 that about 1000 Palestinians can be evicted from an area of the West Bank and the land re-purposed for </w:t>
      </w:r>
      <w:r>
        <w:rPr>
          <w:rFonts w:ascii="Arial" w:hAnsi="Arial" w:cs="Arial"/>
          <w:sz w:val="24"/>
          <w:szCs w:val="24"/>
          <w:lang w:val="en-AU"/>
        </w:rPr>
        <w:lastRenderedPageBreak/>
        <w:t xml:space="preserve">Israeli military use. A report in </w:t>
      </w:r>
      <w:r w:rsidRPr="00C4247A">
        <w:rPr>
          <w:rFonts w:ascii="Arial" w:hAnsi="Arial" w:cs="Arial"/>
          <w:i/>
          <w:sz w:val="24"/>
          <w:szCs w:val="24"/>
          <w:lang w:val="en-AU"/>
        </w:rPr>
        <w:t>The Guardian</w:t>
      </w:r>
      <w:r>
        <w:rPr>
          <w:rFonts w:ascii="Arial" w:hAnsi="Arial" w:cs="Arial"/>
          <w:sz w:val="24"/>
          <w:szCs w:val="24"/>
          <w:lang w:val="en-AU"/>
        </w:rPr>
        <w:t xml:space="preserve"> (5 May) by Bethan McKernan said that 18% of West Bank land has been declared ‘firing zones’ for military training since the 1970s. Palestinian communities have been repeatedly </w:t>
      </w:r>
      <w:r w:rsidR="00C4247A">
        <w:rPr>
          <w:rFonts w:ascii="Arial" w:hAnsi="Arial" w:cs="Arial"/>
          <w:sz w:val="24"/>
          <w:szCs w:val="24"/>
          <w:lang w:val="en-AU"/>
        </w:rPr>
        <w:t>threatened with home demo</w:t>
      </w:r>
      <w:r>
        <w:rPr>
          <w:rFonts w:ascii="Arial" w:hAnsi="Arial" w:cs="Arial"/>
          <w:sz w:val="24"/>
          <w:szCs w:val="24"/>
          <w:lang w:val="en-AU"/>
        </w:rPr>
        <w:t>lition</w:t>
      </w:r>
      <w:r w:rsidR="00C4247A">
        <w:rPr>
          <w:rFonts w:ascii="Arial" w:hAnsi="Arial" w:cs="Arial"/>
          <w:sz w:val="24"/>
          <w:szCs w:val="24"/>
          <w:lang w:val="en-AU"/>
        </w:rPr>
        <w:t>s</w:t>
      </w:r>
      <w:r>
        <w:rPr>
          <w:rFonts w:ascii="Arial" w:hAnsi="Arial" w:cs="Arial"/>
          <w:sz w:val="24"/>
          <w:szCs w:val="24"/>
          <w:lang w:val="en-AU"/>
        </w:rPr>
        <w:t xml:space="preserve"> and harassed by nearby illegal I</w:t>
      </w:r>
      <w:r w:rsidR="00C4247A">
        <w:rPr>
          <w:rFonts w:ascii="Arial" w:hAnsi="Arial" w:cs="Arial"/>
          <w:sz w:val="24"/>
          <w:szCs w:val="24"/>
          <w:lang w:val="en-AU"/>
        </w:rPr>
        <w:t>sraeli settl</w:t>
      </w:r>
      <w:r>
        <w:rPr>
          <w:rFonts w:ascii="Arial" w:hAnsi="Arial" w:cs="Arial"/>
          <w:sz w:val="24"/>
          <w:szCs w:val="24"/>
          <w:lang w:val="en-AU"/>
        </w:rPr>
        <w:t xml:space="preserve">ers. An Israeli NGO called </w:t>
      </w:r>
      <w:r w:rsidRPr="00C4247A">
        <w:rPr>
          <w:rFonts w:ascii="Arial" w:hAnsi="Arial" w:cs="Arial"/>
          <w:sz w:val="24"/>
          <w:szCs w:val="24"/>
          <w:u w:val="single"/>
          <w:lang w:val="en-AU"/>
        </w:rPr>
        <w:t>Breaking the Silence</w:t>
      </w:r>
      <w:r>
        <w:rPr>
          <w:rFonts w:ascii="Arial" w:hAnsi="Arial" w:cs="Arial"/>
          <w:sz w:val="24"/>
          <w:szCs w:val="24"/>
          <w:lang w:val="en-AU"/>
        </w:rPr>
        <w:t xml:space="preserve"> said that the high court</w:t>
      </w:r>
      <w:proofErr w:type="gramStart"/>
      <w:r>
        <w:rPr>
          <w:rFonts w:ascii="Arial" w:hAnsi="Arial" w:cs="Arial"/>
          <w:sz w:val="24"/>
          <w:szCs w:val="24"/>
          <w:lang w:val="en-AU"/>
        </w:rPr>
        <w:t xml:space="preserve"> </w:t>
      </w:r>
      <w:r w:rsidR="00C4247A">
        <w:rPr>
          <w:rFonts w:ascii="Arial" w:hAnsi="Arial" w:cs="Arial"/>
          <w:sz w:val="24"/>
          <w:szCs w:val="24"/>
          <w:lang w:val="en-AU"/>
        </w:rPr>
        <w:t xml:space="preserve"> </w:t>
      </w:r>
      <w:r>
        <w:rPr>
          <w:rFonts w:ascii="Arial" w:hAnsi="Arial" w:cs="Arial"/>
          <w:sz w:val="24"/>
          <w:szCs w:val="24"/>
          <w:lang w:val="en-AU"/>
        </w:rPr>
        <w:t xml:space="preserve"> </w:t>
      </w:r>
      <w:r w:rsidR="00C4247A">
        <w:rPr>
          <w:rFonts w:ascii="Arial" w:hAnsi="Arial" w:cs="Arial"/>
          <w:sz w:val="24"/>
          <w:szCs w:val="24"/>
          <w:lang w:val="en-AU"/>
        </w:rPr>
        <w:t>“</w:t>
      </w:r>
      <w:proofErr w:type="gramEnd"/>
      <w:r>
        <w:rPr>
          <w:rFonts w:ascii="Arial" w:hAnsi="Arial" w:cs="Arial"/>
          <w:sz w:val="24"/>
          <w:szCs w:val="24"/>
          <w:lang w:val="en-AU"/>
        </w:rPr>
        <w:t xml:space="preserve">has greenlighted the largest population transfer in the </w:t>
      </w:r>
      <w:r w:rsidR="00C4247A">
        <w:rPr>
          <w:rFonts w:ascii="Arial" w:hAnsi="Arial" w:cs="Arial"/>
          <w:sz w:val="24"/>
          <w:szCs w:val="24"/>
          <w:lang w:val="en-AU"/>
        </w:rPr>
        <w:t>history of the</w:t>
      </w:r>
      <w:r>
        <w:rPr>
          <w:rFonts w:ascii="Arial" w:hAnsi="Arial" w:cs="Arial"/>
          <w:sz w:val="24"/>
          <w:szCs w:val="24"/>
          <w:lang w:val="en-AU"/>
        </w:rPr>
        <w:t xml:space="preserve"> O</w:t>
      </w:r>
      <w:r w:rsidR="00C4247A">
        <w:rPr>
          <w:rFonts w:ascii="Arial" w:hAnsi="Arial" w:cs="Arial"/>
          <w:sz w:val="24"/>
          <w:szCs w:val="24"/>
          <w:lang w:val="en-AU"/>
        </w:rPr>
        <w:t>ccupat</w:t>
      </w:r>
      <w:r>
        <w:rPr>
          <w:rFonts w:ascii="Arial" w:hAnsi="Arial" w:cs="Arial"/>
          <w:sz w:val="24"/>
          <w:szCs w:val="24"/>
          <w:lang w:val="en-AU"/>
        </w:rPr>
        <w:t xml:space="preserve">ion”. </w:t>
      </w:r>
    </w:p>
    <w:p w14:paraId="7368F5BF" w14:textId="77777777" w:rsidR="00DC2EAD" w:rsidRDefault="00DC2EAD" w:rsidP="00AC188A">
      <w:pPr>
        <w:rPr>
          <w:rFonts w:ascii="Arial" w:hAnsi="Arial" w:cs="Arial"/>
          <w:sz w:val="24"/>
          <w:szCs w:val="24"/>
          <w:lang w:val="en-AU"/>
        </w:rPr>
      </w:pPr>
    </w:p>
    <w:p w14:paraId="1CA89BCC" w14:textId="77777777" w:rsidR="00667CA5" w:rsidRDefault="00E812A8" w:rsidP="00AC188A">
      <w:pPr>
        <w:rPr>
          <w:rFonts w:ascii="Arial" w:hAnsi="Arial" w:cs="Arial"/>
          <w:sz w:val="24"/>
          <w:szCs w:val="24"/>
          <w:lang w:val="en-AU"/>
        </w:rPr>
      </w:pPr>
      <w:r>
        <w:rPr>
          <w:rFonts w:ascii="Arial" w:hAnsi="Arial" w:cs="Arial"/>
          <w:sz w:val="24"/>
          <w:szCs w:val="24"/>
          <w:lang w:val="en-AU"/>
        </w:rPr>
        <w:t xml:space="preserve">The killing of the Palestinian journalist </w:t>
      </w:r>
      <w:r w:rsidRPr="00E812A8">
        <w:rPr>
          <w:rFonts w:ascii="Arial" w:hAnsi="Arial" w:cs="Arial"/>
          <w:sz w:val="24"/>
          <w:szCs w:val="24"/>
          <w:u w:val="single"/>
          <w:lang w:val="en-AU"/>
        </w:rPr>
        <w:t>Shirin A</w:t>
      </w:r>
      <w:r w:rsidR="00667CA5" w:rsidRPr="00E812A8">
        <w:rPr>
          <w:rFonts w:ascii="Arial" w:hAnsi="Arial" w:cs="Arial"/>
          <w:sz w:val="24"/>
          <w:szCs w:val="24"/>
          <w:u w:val="single"/>
          <w:lang w:val="en-AU"/>
        </w:rPr>
        <w:t xml:space="preserve">bu </w:t>
      </w:r>
      <w:proofErr w:type="spellStart"/>
      <w:r w:rsidR="00667CA5" w:rsidRPr="00E812A8">
        <w:rPr>
          <w:rFonts w:ascii="Arial" w:hAnsi="Arial" w:cs="Arial"/>
          <w:sz w:val="24"/>
          <w:szCs w:val="24"/>
          <w:u w:val="single"/>
          <w:lang w:val="en-AU"/>
        </w:rPr>
        <w:t>Akleh</w:t>
      </w:r>
      <w:proofErr w:type="spellEnd"/>
      <w:r w:rsidR="00667CA5">
        <w:rPr>
          <w:rFonts w:ascii="Arial" w:hAnsi="Arial" w:cs="Arial"/>
          <w:sz w:val="24"/>
          <w:szCs w:val="24"/>
          <w:lang w:val="en-AU"/>
        </w:rPr>
        <w:t xml:space="preserve"> on 11 May 2022 while covering an Israeli military raid in Jenin (</w:t>
      </w:r>
      <w:r>
        <w:rPr>
          <w:rFonts w:ascii="Arial" w:hAnsi="Arial" w:cs="Arial"/>
          <w:sz w:val="24"/>
          <w:szCs w:val="24"/>
          <w:lang w:val="en-AU"/>
        </w:rPr>
        <w:t>norther</w:t>
      </w:r>
      <w:r w:rsidR="00667CA5">
        <w:rPr>
          <w:rFonts w:ascii="Arial" w:hAnsi="Arial" w:cs="Arial"/>
          <w:sz w:val="24"/>
          <w:szCs w:val="24"/>
          <w:lang w:val="en-AU"/>
        </w:rPr>
        <w:t>n occupied West Bank)</w:t>
      </w:r>
      <w:r w:rsidR="001E3A4C">
        <w:rPr>
          <w:rFonts w:ascii="Arial" w:hAnsi="Arial" w:cs="Arial"/>
          <w:sz w:val="24"/>
          <w:szCs w:val="24"/>
          <w:lang w:val="en-AU"/>
        </w:rPr>
        <w:t>, and the violence at the funeral, have</w:t>
      </w:r>
      <w:r>
        <w:rPr>
          <w:rFonts w:ascii="Arial" w:hAnsi="Arial" w:cs="Arial"/>
          <w:sz w:val="24"/>
          <w:szCs w:val="24"/>
          <w:lang w:val="en-AU"/>
        </w:rPr>
        <w:t xml:space="preserve"> also raised tension co</w:t>
      </w:r>
      <w:r w:rsidR="00667CA5">
        <w:rPr>
          <w:rFonts w:ascii="Arial" w:hAnsi="Arial" w:cs="Arial"/>
          <w:sz w:val="24"/>
          <w:szCs w:val="24"/>
          <w:lang w:val="en-AU"/>
        </w:rPr>
        <w:t>nsiderably.</w:t>
      </w:r>
      <w:r w:rsidR="001E3A4C">
        <w:rPr>
          <w:rFonts w:ascii="Arial" w:hAnsi="Arial" w:cs="Arial"/>
          <w:sz w:val="24"/>
          <w:szCs w:val="24"/>
          <w:lang w:val="en-AU"/>
        </w:rPr>
        <w:t xml:space="preserve"> Police said mourners were disrupting public order and attacked them. </w:t>
      </w:r>
      <w:r w:rsidR="00667CA5">
        <w:rPr>
          <w:rFonts w:ascii="Arial" w:hAnsi="Arial" w:cs="Arial"/>
          <w:sz w:val="24"/>
          <w:szCs w:val="24"/>
          <w:lang w:val="en-AU"/>
        </w:rPr>
        <w:t xml:space="preserve"> </w:t>
      </w:r>
      <w:r w:rsidR="00667CA5" w:rsidRPr="00E812A8">
        <w:rPr>
          <w:rFonts w:ascii="Arial" w:hAnsi="Arial" w:cs="Arial"/>
          <w:sz w:val="24"/>
          <w:szCs w:val="24"/>
          <w:u w:val="single"/>
          <w:lang w:val="en-AU"/>
        </w:rPr>
        <w:t>Amnesty International</w:t>
      </w:r>
      <w:r w:rsidR="00667CA5">
        <w:rPr>
          <w:rFonts w:ascii="Arial" w:hAnsi="Arial" w:cs="Arial"/>
          <w:sz w:val="24"/>
          <w:szCs w:val="24"/>
          <w:lang w:val="en-AU"/>
        </w:rPr>
        <w:t>, in a media release on 12 May, said “I</w:t>
      </w:r>
      <w:r>
        <w:rPr>
          <w:rFonts w:ascii="Arial" w:hAnsi="Arial" w:cs="Arial"/>
          <w:sz w:val="24"/>
          <w:szCs w:val="24"/>
          <w:lang w:val="en-AU"/>
        </w:rPr>
        <w:t>srael m</w:t>
      </w:r>
      <w:r w:rsidR="00667CA5">
        <w:rPr>
          <w:rFonts w:ascii="Arial" w:hAnsi="Arial" w:cs="Arial"/>
          <w:sz w:val="24"/>
          <w:szCs w:val="24"/>
          <w:lang w:val="en-AU"/>
        </w:rPr>
        <w:t>ust end unlawful killings, wilful injury, a</w:t>
      </w:r>
      <w:r>
        <w:rPr>
          <w:rFonts w:ascii="Arial" w:hAnsi="Arial" w:cs="Arial"/>
          <w:sz w:val="24"/>
          <w:szCs w:val="24"/>
          <w:lang w:val="en-AU"/>
        </w:rPr>
        <w:t>rbitrary arrests, torture and o</w:t>
      </w:r>
      <w:r w:rsidR="00667CA5">
        <w:rPr>
          <w:rFonts w:ascii="Arial" w:hAnsi="Arial" w:cs="Arial"/>
          <w:sz w:val="24"/>
          <w:szCs w:val="24"/>
          <w:lang w:val="en-AU"/>
        </w:rPr>
        <w:t>ther ill</w:t>
      </w:r>
      <w:r w:rsidR="001405DE">
        <w:rPr>
          <w:rFonts w:ascii="Arial" w:hAnsi="Arial" w:cs="Arial"/>
          <w:sz w:val="24"/>
          <w:szCs w:val="24"/>
          <w:lang w:val="en-AU"/>
        </w:rPr>
        <w:t>-</w:t>
      </w:r>
      <w:r>
        <w:rPr>
          <w:rFonts w:ascii="Arial" w:hAnsi="Arial" w:cs="Arial"/>
          <w:sz w:val="24"/>
          <w:szCs w:val="24"/>
          <w:lang w:val="en-AU"/>
        </w:rPr>
        <w:t>treatment, persecution and collec</w:t>
      </w:r>
      <w:r w:rsidR="00667CA5">
        <w:rPr>
          <w:rFonts w:ascii="Arial" w:hAnsi="Arial" w:cs="Arial"/>
          <w:sz w:val="24"/>
          <w:szCs w:val="24"/>
          <w:lang w:val="en-AU"/>
        </w:rPr>
        <w:t>tive punishment against P</w:t>
      </w:r>
      <w:r>
        <w:rPr>
          <w:rFonts w:ascii="Arial" w:hAnsi="Arial" w:cs="Arial"/>
          <w:sz w:val="24"/>
          <w:szCs w:val="24"/>
          <w:lang w:val="en-AU"/>
        </w:rPr>
        <w:t>alestinians, inclu</w:t>
      </w:r>
      <w:r w:rsidR="00667CA5">
        <w:rPr>
          <w:rFonts w:ascii="Arial" w:hAnsi="Arial" w:cs="Arial"/>
          <w:sz w:val="24"/>
          <w:szCs w:val="24"/>
          <w:lang w:val="en-AU"/>
        </w:rPr>
        <w:t xml:space="preserve">ding many children”. </w:t>
      </w:r>
      <w:r w:rsidR="001405DE">
        <w:rPr>
          <w:rFonts w:ascii="Arial" w:hAnsi="Arial" w:cs="Arial"/>
          <w:sz w:val="24"/>
          <w:szCs w:val="24"/>
          <w:lang w:val="en-AU"/>
        </w:rPr>
        <w:t>The statement included the following details:</w:t>
      </w:r>
    </w:p>
    <w:p w14:paraId="0B6D9AE2" w14:textId="77777777" w:rsidR="001405DE" w:rsidRDefault="001405DE" w:rsidP="00AC188A">
      <w:pPr>
        <w:rPr>
          <w:rFonts w:ascii="Arial" w:hAnsi="Arial" w:cs="Arial"/>
          <w:sz w:val="24"/>
          <w:szCs w:val="24"/>
          <w:lang w:val="en-AU"/>
        </w:rPr>
      </w:pPr>
    </w:p>
    <w:p w14:paraId="06DB854E" w14:textId="77777777" w:rsidR="001405DE" w:rsidRPr="003E2082" w:rsidRDefault="001405DE" w:rsidP="001405DE">
      <w:pPr>
        <w:numPr>
          <w:ilvl w:val="0"/>
          <w:numId w:val="44"/>
        </w:numPr>
        <w:rPr>
          <w:rFonts w:ascii="Arial" w:hAnsi="Arial" w:cs="Arial"/>
          <w:sz w:val="22"/>
          <w:szCs w:val="22"/>
          <w:lang w:val="en-AU"/>
        </w:rPr>
      </w:pPr>
      <w:r w:rsidRPr="003E2082">
        <w:rPr>
          <w:rFonts w:ascii="Arial" w:hAnsi="Arial" w:cs="Arial"/>
          <w:sz w:val="22"/>
          <w:szCs w:val="22"/>
          <w:lang w:val="en-AU"/>
        </w:rPr>
        <w:t>Since the new Prime Minister Naftali Bennett took office in June 2021, the UN Office for the Coordination of Humanitarian Affairs (UNCHA) says Israeli forces killed at least 79 Palestinians, including 14 children.</w:t>
      </w:r>
    </w:p>
    <w:p w14:paraId="2E95B377" w14:textId="77777777" w:rsidR="001405DE" w:rsidRPr="003E2082" w:rsidRDefault="001405DE" w:rsidP="001405DE">
      <w:pPr>
        <w:numPr>
          <w:ilvl w:val="0"/>
          <w:numId w:val="44"/>
        </w:numPr>
        <w:rPr>
          <w:rFonts w:ascii="Arial" w:hAnsi="Arial" w:cs="Arial"/>
          <w:sz w:val="22"/>
          <w:szCs w:val="22"/>
          <w:lang w:val="en-AU"/>
        </w:rPr>
      </w:pPr>
      <w:r w:rsidRPr="003E2082">
        <w:rPr>
          <w:rFonts w:ascii="Arial" w:hAnsi="Arial" w:cs="Arial"/>
          <w:sz w:val="22"/>
          <w:szCs w:val="22"/>
          <w:lang w:val="en-AU"/>
        </w:rPr>
        <w:t>Senior Israeli politicians have made repeated statements that incite violence and encourage the use of unlawful force against Palestinians who pose no imminent threat.</w:t>
      </w:r>
    </w:p>
    <w:p w14:paraId="4012A390" w14:textId="77777777" w:rsidR="001405DE" w:rsidRPr="003E2082" w:rsidRDefault="001405DE" w:rsidP="001405DE">
      <w:pPr>
        <w:numPr>
          <w:ilvl w:val="0"/>
          <w:numId w:val="44"/>
        </w:numPr>
        <w:rPr>
          <w:rFonts w:ascii="Arial" w:hAnsi="Arial" w:cs="Arial"/>
          <w:sz w:val="22"/>
          <w:szCs w:val="22"/>
          <w:lang w:val="en-AU"/>
        </w:rPr>
      </w:pPr>
      <w:r w:rsidRPr="003E2082">
        <w:rPr>
          <w:rFonts w:ascii="Arial" w:hAnsi="Arial" w:cs="Arial"/>
          <w:sz w:val="22"/>
          <w:szCs w:val="22"/>
          <w:lang w:val="en-AU"/>
        </w:rPr>
        <w:t>Amnesty has conducted field observations, interviews with witnesses, and collected much information about the patterns of arbitrary treatment, including the killing of children.</w:t>
      </w:r>
    </w:p>
    <w:p w14:paraId="2619A228" w14:textId="77777777" w:rsidR="00F60D3D" w:rsidRPr="003E2082" w:rsidRDefault="00F60D3D" w:rsidP="001405DE">
      <w:pPr>
        <w:numPr>
          <w:ilvl w:val="0"/>
          <w:numId w:val="44"/>
        </w:numPr>
        <w:rPr>
          <w:rFonts w:ascii="Arial" w:hAnsi="Arial" w:cs="Arial"/>
          <w:sz w:val="22"/>
          <w:szCs w:val="22"/>
          <w:lang w:val="en-AU"/>
        </w:rPr>
      </w:pPr>
      <w:r w:rsidRPr="003E2082">
        <w:rPr>
          <w:rFonts w:ascii="Arial" w:hAnsi="Arial" w:cs="Arial"/>
          <w:sz w:val="22"/>
          <w:szCs w:val="22"/>
          <w:lang w:val="en-AU"/>
        </w:rPr>
        <w:t>During Ramadan (3 April-8 May) Israeli authorities restricted access for Muslim worshippers to the al-Aqsa mosque in East Jerusalem, and police attacked worshippers</w:t>
      </w:r>
      <w:r w:rsidR="003B3C64" w:rsidRPr="003E2082">
        <w:rPr>
          <w:rFonts w:ascii="Arial" w:hAnsi="Arial" w:cs="Arial"/>
          <w:sz w:val="22"/>
          <w:szCs w:val="22"/>
          <w:lang w:val="en-AU"/>
        </w:rPr>
        <w:t>.</w:t>
      </w:r>
    </w:p>
    <w:p w14:paraId="406EA003" w14:textId="77777777" w:rsidR="003B3C64" w:rsidRPr="003E2082" w:rsidRDefault="003B3C64" w:rsidP="001405DE">
      <w:pPr>
        <w:numPr>
          <w:ilvl w:val="0"/>
          <w:numId w:val="44"/>
        </w:numPr>
        <w:rPr>
          <w:rFonts w:ascii="Arial" w:hAnsi="Arial" w:cs="Arial"/>
          <w:sz w:val="22"/>
          <w:szCs w:val="22"/>
          <w:lang w:val="en-AU"/>
        </w:rPr>
      </w:pPr>
      <w:r w:rsidRPr="003E2082">
        <w:rPr>
          <w:rFonts w:ascii="Arial" w:hAnsi="Arial" w:cs="Arial"/>
          <w:sz w:val="22"/>
          <w:szCs w:val="22"/>
          <w:lang w:val="en-AU"/>
        </w:rPr>
        <w:t xml:space="preserve">Separate attacks since March by armed Palestinians killed 18 people in cities across Israel, and on 7 April three people were killed (and other injured) in an attack on a restaurant in Tel Aviv by a Palestinian refugee. </w:t>
      </w:r>
    </w:p>
    <w:p w14:paraId="6EFD77DE" w14:textId="77777777" w:rsidR="001A1109" w:rsidRDefault="001A1109" w:rsidP="001A1109">
      <w:pPr>
        <w:ind w:left="360"/>
        <w:rPr>
          <w:rFonts w:ascii="Arial" w:hAnsi="Arial" w:cs="Arial"/>
          <w:sz w:val="24"/>
          <w:szCs w:val="24"/>
          <w:lang w:val="en-AU"/>
        </w:rPr>
      </w:pPr>
    </w:p>
    <w:p w14:paraId="0CEC6541" w14:textId="77777777" w:rsidR="001C4A0E" w:rsidRDefault="001C4A0E" w:rsidP="00A119C6">
      <w:pPr>
        <w:rPr>
          <w:rFonts w:ascii="Arial" w:hAnsi="Arial" w:cs="Arial"/>
          <w:sz w:val="24"/>
          <w:szCs w:val="24"/>
          <w:lang w:val="en-AU"/>
        </w:rPr>
      </w:pPr>
      <w:r>
        <w:rPr>
          <w:rFonts w:ascii="Arial" w:hAnsi="Arial" w:cs="Arial"/>
          <w:sz w:val="24"/>
          <w:szCs w:val="24"/>
          <w:lang w:val="en-AU"/>
        </w:rPr>
        <w:t xml:space="preserve">In October 2021, six prominent Palestinian human rights and advocacy groups were outlawed by the Israeli government as ‘terrorist’ organisations. If you would like to sign a petition to the Australian Government about this, see </w:t>
      </w:r>
      <w:hyperlink r:id="rId8" w:history="1">
        <w:r w:rsidRPr="00741A9A">
          <w:rPr>
            <w:rStyle w:val="Hyperlink"/>
            <w:rFonts w:ascii="Arial" w:hAnsi="Arial" w:cs="Arial"/>
            <w:sz w:val="24"/>
            <w:szCs w:val="24"/>
            <w:lang w:val="en-AU"/>
          </w:rPr>
          <w:t>www.apan.org.au/take-action/</w:t>
        </w:r>
      </w:hyperlink>
    </w:p>
    <w:p w14:paraId="63F52DC7" w14:textId="77777777" w:rsidR="0011328B" w:rsidRDefault="0011328B" w:rsidP="0011328B">
      <w:pPr>
        <w:rPr>
          <w:rFonts w:ascii="Arial" w:hAnsi="Arial" w:cs="Arial"/>
          <w:sz w:val="24"/>
          <w:szCs w:val="24"/>
          <w:lang w:val="en-AU"/>
        </w:rPr>
      </w:pPr>
    </w:p>
    <w:p w14:paraId="4FEA09DA" w14:textId="77777777" w:rsidR="0011328B" w:rsidRDefault="0011328B" w:rsidP="0011328B">
      <w:pPr>
        <w:rPr>
          <w:rFonts w:ascii="Arial" w:hAnsi="Arial" w:cs="Arial"/>
          <w:sz w:val="24"/>
          <w:szCs w:val="24"/>
          <w:lang w:val="en-AU"/>
        </w:rPr>
      </w:pPr>
      <w:r w:rsidRPr="0011328B">
        <w:rPr>
          <w:rFonts w:ascii="Arial" w:hAnsi="Arial" w:cs="Arial"/>
          <w:sz w:val="24"/>
          <w:szCs w:val="24"/>
          <w:u w:val="single"/>
          <w:lang w:val="en-AU"/>
        </w:rPr>
        <w:t xml:space="preserve">Martin </w:t>
      </w:r>
      <w:proofErr w:type="spellStart"/>
      <w:r w:rsidRPr="0011328B">
        <w:rPr>
          <w:rFonts w:ascii="Arial" w:hAnsi="Arial" w:cs="Arial"/>
          <w:sz w:val="24"/>
          <w:szCs w:val="24"/>
          <w:u w:val="single"/>
          <w:lang w:val="en-AU"/>
        </w:rPr>
        <w:t>Bishara</w:t>
      </w:r>
      <w:proofErr w:type="spellEnd"/>
      <w:r>
        <w:rPr>
          <w:rFonts w:ascii="Arial" w:hAnsi="Arial" w:cs="Arial"/>
          <w:sz w:val="24"/>
          <w:szCs w:val="24"/>
          <w:lang w:val="en-AU"/>
        </w:rPr>
        <w:t xml:space="preserve"> (</w:t>
      </w:r>
      <w:r w:rsidRPr="0011328B">
        <w:rPr>
          <w:rFonts w:ascii="Arial" w:hAnsi="Arial" w:cs="Arial"/>
          <w:i/>
          <w:sz w:val="24"/>
          <w:szCs w:val="24"/>
          <w:lang w:val="en-AU"/>
        </w:rPr>
        <w:t>Al Jazeera</w:t>
      </w:r>
      <w:r>
        <w:rPr>
          <w:rFonts w:ascii="Arial" w:hAnsi="Arial" w:cs="Arial"/>
          <w:sz w:val="24"/>
          <w:szCs w:val="24"/>
          <w:lang w:val="en-AU"/>
        </w:rPr>
        <w:t xml:space="preserve">, 20 May 2020) reported on the Palestinian view that </w:t>
      </w:r>
      <w:r w:rsidRPr="001A522B">
        <w:rPr>
          <w:rFonts w:ascii="Arial" w:hAnsi="Arial" w:cs="Arial"/>
          <w:i/>
          <w:sz w:val="24"/>
          <w:szCs w:val="24"/>
          <w:lang w:val="en-AU"/>
        </w:rPr>
        <w:t>apartheid</w:t>
      </w:r>
      <w:r>
        <w:rPr>
          <w:rFonts w:ascii="Arial" w:hAnsi="Arial" w:cs="Arial"/>
          <w:sz w:val="24"/>
          <w:szCs w:val="24"/>
          <w:lang w:val="en-AU"/>
        </w:rPr>
        <w:t xml:space="preserve"> came to Israel with the 1994 Oslo II Agreement under which the occupied territories became ‘</w:t>
      </w:r>
      <w:proofErr w:type="spellStart"/>
      <w:r>
        <w:rPr>
          <w:rFonts w:ascii="Arial" w:hAnsi="Arial" w:cs="Arial"/>
          <w:sz w:val="24"/>
          <w:szCs w:val="24"/>
          <w:lang w:val="en-AU"/>
        </w:rPr>
        <w:t>bantustans</w:t>
      </w:r>
      <w:proofErr w:type="spellEnd"/>
      <w:r>
        <w:rPr>
          <w:rFonts w:ascii="Arial" w:hAnsi="Arial" w:cs="Arial"/>
          <w:sz w:val="24"/>
          <w:szCs w:val="24"/>
          <w:lang w:val="en-AU"/>
        </w:rPr>
        <w:t>’ - similar to what happened in South Africa. He identified the importance of a new approach by Palestinians to focus on justice and freedom, and to work with supporters within the Jewish community and internationally to develop a unified movement</w:t>
      </w:r>
      <w:r w:rsidR="001A522B">
        <w:rPr>
          <w:rFonts w:ascii="Arial" w:hAnsi="Arial" w:cs="Arial"/>
          <w:sz w:val="24"/>
          <w:szCs w:val="24"/>
          <w:lang w:val="en-AU"/>
        </w:rPr>
        <w:t xml:space="preserve"> for change</w:t>
      </w:r>
      <w:r>
        <w:rPr>
          <w:rFonts w:ascii="Arial" w:hAnsi="Arial" w:cs="Arial"/>
          <w:sz w:val="24"/>
          <w:szCs w:val="24"/>
          <w:lang w:val="en-AU"/>
        </w:rPr>
        <w:t>.</w:t>
      </w:r>
    </w:p>
    <w:p w14:paraId="6088D2E0" w14:textId="77777777" w:rsidR="0011328B" w:rsidRDefault="0011328B" w:rsidP="0011328B">
      <w:pPr>
        <w:rPr>
          <w:rFonts w:ascii="Arial" w:hAnsi="Arial" w:cs="Arial"/>
          <w:sz w:val="24"/>
          <w:szCs w:val="24"/>
          <w:lang w:val="en-AU"/>
        </w:rPr>
      </w:pPr>
    </w:p>
    <w:p w14:paraId="7C0EBDAD" w14:textId="77777777" w:rsidR="003079F3" w:rsidRDefault="00E00130" w:rsidP="003079F3">
      <w:pPr>
        <w:pStyle w:val="text-align-center"/>
        <w:spacing w:before="0" w:beforeAutospacing="0" w:after="225" w:afterAutospacing="0"/>
        <w:rPr>
          <w:rStyle w:val="Strong"/>
          <w:rFonts w:ascii="Roboto" w:hAnsi="Roboto"/>
          <w:color w:val="444444"/>
          <w:sz w:val="23"/>
          <w:szCs w:val="23"/>
        </w:rPr>
      </w:pPr>
      <w:r w:rsidRPr="00E00130">
        <w:rPr>
          <w:rFonts w:ascii="Arial" w:hAnsi="Arial" w:cs="Arial"/>
          <w:u w:val="single"/>
        </w:rPr>
        <w:t>The United Nations Human Rights Council</w:t>
      </w:r>
      <w:r>
        <w:rPr>
          <w:rFonts w:ascii="Arial" w:hAnsi="Arial" w:cs="Arial"/>
        </w:rPr>
        <w:t xml:space="preserve"> </w:t>
      </w:r>
      <w:r w:rsidR="00C027FE">
        <w:rPr>
          <w:rFonts w:ascii="Arial" w:hAnsi="Arial" w:cs="Arial"/>
        </w:rPr>
        <w:t>has received a report from the special commission it appointed on Palestine</w:t>
      </w:r>
      <w:r>
        <w:rPr>
          <w:rFonts w:ascii="Arial" w:hAnsi="Arial" w:cs="Arial"/>
        </w:rPr>
        <w:t xml:space="preserve">. </w:t>
      </w:r>
      <w:r w:rsidR="003079F3">
        <w:rPr>
          <w:rFonts w:ascii="Arial" w:hAnsi="Arial" w:cs="Arial"/>
        </w:rPr>
        <w:t xml:space="preserve">A media statement is appended, and the first paragraph reads as follows: </w:t>
      </w:r>
    </w:p>
    <w:p w14:paraId="5C8FA209" w14:textId="77777777" w:rsidR="00C027FE" w:rsidRDefault="00C027FE" w:rsidP="003079F3">
      <w:pPr>
        <w:pStyle w:val="text-align-center"/>
        <w:spacing w:before="0" w:beforeAutospacing="0" w:after="225" w:afterAutospacing="0"/>
        <w:rPr>
          <w:rFonts w:ascii="Roboto" w:hAnsi="Roboto"/>
          <w:color w:val="444444"/>
          <w:sz w:val="23"/>
          <w:szCs w:val="23"/>
        </w:rPr>
      </w:pPr>
      <w:r>
        <w:rPr>
          <w:rFonts w:ascii="Roboto" w:hAnsi="Roboto"/>
          <w:color w:val="444444"/>
          <w:sz w:val="23"/>
          <w:szCs w:val="23"/>
        </w:rPr>
        <w:t xml:space="preserve">GENEVA (7 June 2022) - The continued occupation by Israel of Palestinian territory and discrimination against Palestinians are the key root causes of the </w:t>
      </w:r>
      <w:r>
        <w:rPr>
          <w:rFonts w:ascii="Roboto" w:hAnsi="Roboto"/>
          <w:color w:val="444444"/>
          <w:sz w:val="23"/>
          <w:szCs w:val="23"/>
        </w:rPr>
        <w:lastRenderedPageBreak/>
        <w:t>recurrent tensions, instability and protraction of conflict in the region, according to the first </w:t>
      </w:r>
      <w:hyperlink r:id="rId9" w:history="1">
        <w:r>
          <w:rPr>
            <w:rStyle w:val="Hyperlink"/>
            <w:rFonts w:ascii="Roboto" w:hAnsi="Roboto"/>
            <w:b/>
            <w:bCs/>
            <w:sz w:val="23"/>
            <w:szCs w:val="23"/>
          </w:rPr>
          <w:t>report</w:t>
        </w:r>
      </w:hyperlink>
      <w:r>
        <w:rPr>
          <w:rFonts w:ascii="Roboto" w:hAnsi="Roboto"/>
          <w:color w:val="444444"/>
          <w:sz w:val="23"/>
          <w:szCs w:val="23"/>
        </w:rPr>
        <w:t> by the new United Nations Independent International </w:t>
      </w:r>
      <w:hyperlink r:id="rId10" w:history="1">
        <w:r>
          <w:rPr>
            <w:rStyle w:val="Hyperlink"/>
            <w:rFonts w:ascii="Roboto" w:hAnsi="Roboto"/>
            <w:b/>
            <w:bCs/>
            <w:sz w:val="23"/>
            <w:szCs w:val="23"/>
          </w:rPr>
          <w:t>Commission of Inquiry</w:t>
        </w:r>
      </w:hyperlink>
      <w:r>
        <w:rPr>
          <w:rFonts w:ascii="Roboto" w:hAnsi="Roboto"/>
          <w:color w:val="444444"/>
          <w:sz w:val="23"/>
          <w:szCs w:val="23"/>
        </w:rPr>
        <w:t> on the Occupied Palestinian Territory, including East Jerusalem, and Israel, issued today.</w:t>
      </w:r>
    </w:p>
    <w:p w14:paraId="0D482DC8" w14:textId="77777777" w:rsidR="004124F7" w:rsidRDefault="004124F7" w:rsidP="00A119C6">
      <w:pPr>
        <w:rPr>
          <w:rFonts w:ascii="Arial" w:hAnsi="Arial" w:cs="Arial"/>
          <w:b/>
          <w:sz w:val="24"/>
          <w:szCs w:val="24"/>
          <w:lang w:val="en-AU"/>
        </w:rPr>
      </w:pPr>
      <w:r w:rsidRPr="004124F7">
        <w:rPr>
          <w:rFonts w:ascii="Arial" w:hAnsi="Arial" w:cs="Arial"/>
          <w:b/>
          <w:sz w:val="24"/>
          <w:szCs w:val="24"/>
          <w:lang w:val="en-AU"/>
        </w:rPr>
        <w:t>Quaker Perspectives</w:t>
      </w:r>
    </w:p>
    <w:p w14:paraId="25110476" w14:textId="77777777" w:rsidR="004124F7" w:rsidRDefault="004124F7" w:rsidP="001A1109">
      <w:pPr>
        <w:ind w:left="360"/>
        <w:rPr>
          <w:rFonts w:ascii="Arial" w:hAnsi="Arial" w:cs="Arial"/>
          <w:b/>
          <w:sz w:val="24"/>
          <w:szCs w:val="24"/>
          <w:lang w:val="en-AU"/>
        </w:rPr>
      </w:pPr>
    </w:p>
    <w:p w14:paraId="18E4DC31" w14:textId="77777777" w:rsidR="004124F7" w:rsidRDefault="004124F7" w:rsidP="00A119C6">
      <w:pPr>
        <w:rPr>
          <w:rFonts w:ascii="Arial" w:hAnsi="Arial" w:cs="Arial"/>
          <w:sz w:val="24"/>
          <w:szCs w:val="24"/>
          <w:lang w:val="en-AU"/>
        </w:rPr>
      </w:pPr>
      <w:r>
        <w:rPr>
          <w:rFonts w:ascii="Arial" w:hAnsi="Arial" w:cs="Arial"/>
          <w:sz w:val="24"/>
          <w:szCs w:val="24"/>
          <w:lang w:val="en-AU"/>
        </w:rPr>
        <w:t xml:space="preserve">The </w:t>
      </w:r>
      <w:r w:rsidRPr="004124F7">
        <w:rPr>
          <w:rFonts w:ascii="Arial" w:hAnsi="Arial" w:cs="Arial"/>
          <w:sz w:val="24"/>
          <w:szCs w:val="24"/>
          <w:u w:val="single"/>
          <w:lang w:val="en-AU"/>
        </w:rPr>
        <w:t xml:space="preserve">Clerk of Ramallah Friends Meeting, Saleem </w:t>
      </w:r>
      <w:proofErr w:type="spellStart"/>
      <w:r w:rsidRPr="004124F7">
        <w:rPr>
          <w:rFonts w:ascii="Arial" w:hAnsi="Arial" w:cs="Arial"/>
          <w:sz w:val="24"/>
          <w:szCs w:val="24"/>
          <w:u w:val="single"/>
          <w:lang w:val="en-AU"/>
        </w:rPr>
        <w:t>Zaru</w:t>
      </w:r>
      <w:proofErr w:type="spellEnd"/>
      <w:r>
        <w:rPr>
          <w:rFonts w:ascii="Arial" w:hAnsi="Arial" w:cs="Arial"/>
          <w:sz w:val="24"/>
          <w:szCs w:val="24"/>
          <w:lang w:val="en-AU"/>
        </w:rPr>
        <w:t>, has maintained contact with Quakers around the world during recent years. The Ramallah Meeting has “</w:t>
      </w:r>
      <w:r w:rsidR="00A04D09">
        <w:rPr>
          <w:rFonts w:ascii="Arial" w:hAnsi="Arial" w:cs="Arial"/>
          <w:sz w:val="24"/>
          <w:szCs w:val="24"/>
          <w:lang w:val="en-AU"/>
        </w:rPr>
        <w:t>continued to play a critical ro</w:t>
      </w:r>
      <w:r>
        <w:rPr>
          <w:rFonts w:ascii="Arial" w:hAnsi="Arial" w:cs="Arial"/>
          <w:sz w:val="24"/>
          <w:szCs w:val="24"/>
          <w:lang w:val="en-AU"/>
        </w:rPr>
        <w:t xml:space="preserve">le in supporting those working for peace and justice in the region, expanding the conception of </w:t>
      </w:r>
      <w:r w:rsidR="00A04D09">
        <w:rPr>
          <w:rFonts w:ascii="Arial" w:hAnsi="Arial" w:cs="Arial"/>
          <w:sz w:val="24"/>
          <w:szCs w:val="24"/>
          <w:lang w:val="en-AU"/>
        </w:rPr>
        <w:t>peac</w:t>
      </w:r>
      <w:r>
        <w:rPr>
          <w:rFonts w:ascii="Arial" w:hAnsi="Arial" w:cs="Arial"/>
          <w:sz w:val="24"/>
          <w:szCs w:val="24"/>
          <w:lang w:val="en-AU"/>
        </w:rPr>
        <w:t>e and justice work to one that includes a ministry of presence and a spa</w:t>
      </w:r>
      <w:r w:rsidR="00A04D09">
        <w:rPr>
          <w:rFonts w:ascii="Arial" w:hAnsi="Arial" w:cs="Arial"/>
          <w:sz w:val="24"/>
          <w:szCs w:val="24"/>
          <w:lang w:val="en-AU"/>
        </w:rPr>
        <w:t>ce for nurturing and connectin</w:t>
      </w:r>
      <w:r>
        <w:rPr>
          <w:rFonts w:ascii="Arial" w:hAnsi="Arial" w:cs="Arial"/>
          <w:sz w:val="24"/>
          <w:szCs w:val="24"/>
          <w:lang w:val="en-AU"/>
        </w:rPr>
        <w:t>g visitors engaged i</w:t>
      </w:r>
      <w:r w:rsidR="00A04D09">
        <w:rPr>
          <w:rFonts w:ascii="Arial" w:hAnsi="Arial" w:cs="Arial"/>
          <w:sz w:val="24"/>
          <w:szCs w:val="24"/>
          <w:lang w:val="en-AU"/>
        </w:rPr>
        <w:t>n sh</w:t>
      </w:r>
      <w:r>
        <w:rPr>
          <w:rFonts w:ascii="Arial" w:hAnsi="Arial" w:cs="Arial"/>
          <w:sz w:val="24"/>
          <w:szCs w:val="24"/>
          <w:lang w:val="en-AU"/>
        </w:rPr>
        <w:t>ort- or long-term peace and justice activi</w:t>
      </w:r>
      <w:r w:rsidR="00A04D09">
        <w:rPr>
          <w:rFonts w:ascii="Arial" w:hAnsi="Arial" w:cs="Arial"/>
          <w:sz w:val="24"/>
          <w:szCs w:val="24"/>
          <w:lang w:val="en-AU"/>
        </w:rPr>
        <w:t>ti</w:t>
      </w:r>
      <w:r>
        <w:rPr>
          <w:rFonts w:ascii="Arial" w:hAnsi="Arial" w:cs="Arial"/>
          <w:sz w:val="24"/>
          <w:szCs w:val="24"/>
          <w:lang w:val="en-AU"/>
        </w:rPr>
        <w:t>es”.</w:t>
      </w:r>
      <w:r w:rsidR="008758B4">
        <w:rPr>
          <w:rFonts w:ascii="Arial" w:hAnsi="Arial" w:cs="Arial"/>
          <w:sz w:val="24"/>
          <w:szCs w:val="24"/>
          <w:lang w:val="en-AU"/>
        </w:rPr>
        <w:t xml:space="preserve"> For further details see  </w:t>
      </w:r>
      <w:hyperlink r:id="rId11" w:history="1">
        <w:r w:rsidR="008758B4" w:rsidRPr="00741A9A">
          <w:rPr>
            <w:rStyle w:val="Hyperlink"/>
            <w:rFonts w:ascii="Arial" w:hAnsi="Arial" w:cs="Arial"/>
            <w:sz w:val="24"/>
            <w:szCs w:val="24"/>
            <w:lang w:val="en-AU"/>
          </w:rPr>
          <w:t>www.rfmq.org</w:t>
        </w:r>
      </w:hyperlink>
    </w:p>
    <w:p w14:paraId="1EDFF58E" w14:textId="77777777" w:rsidR="008758B4" w:rsidRDefault="008758B4" w:rsidP="001A1109">
      <w:pPr>
        <w:ind w:left="360"/>
        <w:rPr>
          <w:rFonts w:ascii="Arial" w:hAnsi="Arial" w:cs="Arial"/>
          <w:sz w:val="24"/>
          <w:szCs w:val="24"/>
          <w:lang w:val="en-AU"/>
        </w:rPr>
      </w:pPr>
    </w:p>
    <w:p w14:paraId="10DC1371" w14:textId="77777777" w:rsidR="00E84D72" w:rsidRDefault="00E84D72" w:rsidP="00A119C6">
      <w:pPr>
        <w:rPr>
          <w:rFonts w:ascii="Arial" w:hAnsi="Arial" w:cs="Arial"/>
          <w:sz w:val="24"/>
          <w:szCs w:val="24"/>
          <w:lang w:val="en-AU"/>
        </w:rPr>
      </w:pPr>
      <w:r>
        <w:rPr>
          <w:rFonts w:ascii="Arial" w:hAnsi="Arial" w:cs="Arial"/>
          <w:sz w:val="24"/>
          <w:szCs w:val="24"/>
          <w:lang w:val="en-AU"/>
        </w:rPr>
        <w:t xml:space="preserve">The </w:t>
      </w:r>
      <w:r w:rsidRPr="00E84D72">
        <w:rPr>
          <w:rFonts w:ascii="Arial" w:hAnsi="Arial" w:cs="Arial"/>
          <w:sz w:val="24"/>
          <w:szCs w:val="24"/>
          <w:u w:val="single"/>
          <w:lang w:val="en-AU"/>
        </w:rPr>
        <w:t>American Friends Service Committee</w:t>
      </w:r>
      <w:r>
        <w:rPr>
          <w:rFonts w:ascii="Arial" w:hAnsi="Arial" w:cs="Arial"/>
          <w:sz w:val="24"/>
          <w:szCs w:val="24"/>
          <w:lang w:val="en-AU"/>
        </w:rPr>
        <w:t xml:space="preserve"> (AFSC) has worked since 1948 in Israel and Palestine towards a just and lasting peace, challenging the militarisation of Israeli society and the fragmentation of Palestinian identity.</w:t>
      </w:r>
      <w:r w:rsidR="005A7CCF">
        <w:rPr>
          <w:rFonts w:ascii="Arial" w:hAnsi="Arial" w:cs="Arial"/>
          <w:sz w:val="24"/>
          <w:szCs w:val="24"/>
          <w:lang w:val="en-AU"/>
        </w:rPr>
        <w:t xml:space="preserve"> It has drawn attention to systematic inequality between Palestinian and Jewish Israelis, which has grown in recent years. One result has been the increasing use of the word ‘apartheid’ to describe the situation.</w:t>
      </w:r>
      <w:r w:rsidR="001E00CE">
        <w:rPr>
          <w:rFonts w:ascii="Arial" w:hAnsi="Arial" w:cs="Arial"/>
          <w:sz w:val="24"/>
          <w:szCs w:val="24"/>
          <w:lang w:val="en-AU"/>
        </w:rPr>
        <w:t xml:space="preserve"> Israeli human rights organisations </w:t>
      </w:r>
      <w:r w:rsidR="001E00CE" w:rsidRPr="001E00CE">
        <w:rPr>
          <w:rFonts w:ascii="Arial" w:hAnsi="Arial" w:cs="Arial"/>
          <w:i/>
          <w:sz w:val="24"/>
          <w:szCs w:val="24"/>
          <w:lang w:val="en-AU"/>
        </w:rPr>
        <w:t>Yesh Din</w:t>
      </w:r>
      <w:r w:rsidR="001E00CE">
        <w:rPr>
          <w:rFonts w:ascii="Arial" w:hAnsi="Arial" w:cs="Arial"/>
          <w:sz w:val="24"/>
          <w:szCs w:val="24"/>
          <w:lang w:val="en-AU"/>
        </w:rPr>
        <w:t xml:space="preserve"> and </w:t>
      </w:r>
      <w:proofErr w:type="spellStart"/>
      <w:r w:rsidR="001E00CE" w:rsidRPr="001E00CE">
        <w:rPr>
          <w:rFonts w:ascii="Arial" w:hAnsi="Arial" w:cs="Arial"/>
          <w:i/>
          <w:sz w:val="24"/>
          <w:szCs w:val="24"/>
          <w:lang w:val="en-AU"/>
        </w:rPr>
        <w:t>B’tselem</w:t>
      </w:r>
      <w:proofErr w:type="spellEnd"/>
      <w:r w:rsidR="001E00CE">
        <w:rPr>
          <w:rFonts w:ascii="Arial" w:hAnsi="Arial" w:cs="Arial"/>
          <w:sz w:val="24"/>
          <w:szCs w:val="24"/>
          <w:lang w:val="en-AU"/>
        </w:rPr>
        <w:t xml:space="preserve"> have concluded that this is legally the case.</w:t>
      </w:r>
      <w:r w:rsidR="00355E35">
        <w:rPr>
          <w:rFonts w:ascii="Arial" w:hAnsi="Arial" w:cs="Arial"/>
          <w:sz w:val="24"/>
          <w:szCs w:val="24"/>
          <w:lang w:val="en-AU"/>
        </w:rPr>
        <w:t xml:space="preserve"> AFSC has come to use the term ‘apartheid’ as a description of the reality, while being committed to justice and peace for all people of the region.</w:t>
      </w:r>
      <w:r w:rsidR="00DC10D9">
        <w:rPr>
          <w:rFonts w:ascii="Arial" w:hAnsi="Arial" w:cs="Arial"/>
          <w:sz w:val="24"/>
          <w:szCs w:val="24"/>
          <w:lang w:val="en-AU"/>
        </w:rPr>
        <w:t xml:space="preserve"> It is also a reason why AFSC supports the Boycott, Divestment and Sanctions (BDS) campaign against links with the occupied territories.</w:t>
      </w:r>
      <w:r w:rsidR="00A119C6">
        <w:rPr>
          <w:rFonts w:ascii="Arial" w:hAnsi="Arial" w:cs="Arial"/>
          <w:sz w:val="24"/>
          <w:szCs w:val="24"/>
          <w:lang w:val="en-AU"/>
        </w:rPr>
        <w:t xml:space="preserve"> See </w:t>
      </w:r>
      <w:hyperlink r:id="rId12" w:history="1">
        <w:r w:rsidR="00A119C6" w:rsidRPr="00741A9A">
          <w:rPr>
            <w:rStyle w:val="Hyperlink"/>
            <w:rFonts w:ascii="Arial" w:hAnsi="Arial" w:cs="Arial"/>
            <w:sz w:val="24"/>
            <w:szCs w:val="24"/>
            <w:lang w:val="en-AU"/>
          </w:rPr>
          <w:t>www.afsc.org</w:t>
        </w:r>
      </w:hyperlink>
    </w:p>
    <w:p w14:paraId="65E29B22" w14:textId="77777777" w:rsidR="00A119C6" w:rsidRDefault="00A119C6" w:rsidP="001A1109">
      <w:pPr>
        <w:ind w:left="360"/>
        <w:rPr>
          <w:rFonts w:ascii="Arial" w:hAnsi="Arial" w:cs="Arial"/>
          <w:sz w:val="24"/>
          <w:szCs w:val="24"/>
          <w:lang w:val="en-AU"/>
        </w:rPr>
      </w:pPr>
    </w:p>
    <w:p w14:paraId="41665353" w14:textId="77777777" w:rsidR="00DC3224" w:rsidRDefault="00DC3224" w:rsidP="00A119C6">
      <w:pPr>
        <w:rPr>
          <w:rFonts w:ascii="Arial" w:hAnsi="Arial" w:cs="Arial"/>
          <w:sz w:val="24"/>
          <w:szCs w:val="24"/>
          <w:lang w:val="en-AU"/>
        </w:rPr>
      </w:pPr>
      <w:r w:rsidRPr="00DC3224">
        <w:rPr>
          <w:rFonts w:ascii="Arial" w:hAnsi="Arial" w:cs="Arial"/>
          <w:sz w:val="24"/>
          <w:szCs w:val="24"/>
          <w:u w:val="single"/>
          <w:lang w:val="en-AU"/>
        </w:rPr>
        <w:t>British Quakers</w:t>
      </w:r>
      <w:r>
        <w:rPr>
          <w:rFonts w:ascii="Arial" w:hAnsi="Arial" w:cs="Arial"/>
          <w:sz w:val="24"/>
          <w:szCs w:val="24"/>
          <w:lang w:val="en-AU"/>
        </w:rPr>
        <w:t xml:space="preserve"> have taken several steps </w:t>
      </w:r>
      <w:r w:rsidR="00A119C6">
        <w:rPr>
          <w:rFonts w:ascii="Arial" w:hAnsi="Arial" w:cs="Arial"/>
          <w:sz w:val="24"/>
          <w:szCs w:val="24"/>
          <w:lang w:val="en-AU"/>
        </w:rPr>
        <w:t>– in 2014 they called on the UK</w:t>
      </w:r>
      <w:r w:rsidR="0011328B">
        <w:rPr>
          <w:rFonts w:ascii="Arial" w:hAnsi="Arial" w:cs="Arial"/>
          <w:sz w:val="24"/>
          <w:szCs w:val="24"/>
          <w:lang w:val="en-AU"/>
        </w:rPr>
        <w:t xml:space="preserve"> </w:t>
      </w:r>
      <w:r>
        <w:rPr>
          <w:rFonts w:ascii="Arial" w:hAnsi="Arial" w:cs="Arial"/>
          <w:sz w:val="24"/>
          <w:szCs w:val="24"/>
          <w:lang w:val="en-AU"/>
        </w:rPr>
        <w:t xml:space="preserve">government to recognise Palestine as a nation state on the same basis as it recognises Israel. </w:t>
      </w:r>
      <w:r w:rsidR="00532CA6">
        <w:rPr>
          <w:rFonts w:ascii="Arial" w:hAnsi="Arial" w:cs="Arial"/>
          <w:sz w:val="24"/>
          <w:szCs w:val="24"/>
          <w:lang w:val="en-AU"/>
        </w:rPr>
        <w:t xml:space="preserve">They asked that, as part of this step, the UK halt arms exports to Israel. </w:t>
      </w:r>
      <w:r>
        <w:rPr>
          <w:rFonts w:ascii="Arial" w:hAnsi="Arial" w:cs="Arial"/>
          <w:sz w:val="24"/>
          <w:szCs w:val="24"/>
          <w:lang w:val="en-AU"/>
        </w:rPr>
        <w:t>In 2018 they became the first church in the UK to announce it would not invest any of its centrally-held funds in companies profiting from the occupation of Palestine.</w:t>
      </w:r>
      <w:r w:rsidR="00A119C6">
        <w:rPr>
          <w:rFonts w:ascii="Arial" w:hAnsi="Arial" w:cs="Arial"/>
          <w:sz w:val="24"/>
          <w:szCs w:val="24"/>
          <w:lang w:val="en-AU"/>
        </w:rPr>
        <w:t xml:space="preserve"> See </w:t>
      </w:r>
      <w:hyperlink r:id="rId13" w:history="1">
        <w:r w:rsidR="00A119C6" w:rsidRPr="00741A9A">
          <w:rPr>
            <w:rStyle w:val="Hyperlink"/>
            <w:rFonts w:ascii="Arial" w:hAnsi="Arial" w:cs="Arial"/>
            <w:sz w:val="24"/>
            <w:szCs w:val="24"/>
            <w:lang w:val="en-AU"/>
          </w:rPr>
          <w:t>www.quaker.org.uk</w:t>
        </w:r>
      </w:hyperlink>
    </w:p>
    <w:p w14:paraId="0D97672E" w14:textId="77777777" w:rsidR="00A119C6" w:rsidRDefault="00A119C6" w:rsidP="001A1109">
      <w:pPr>
        <w:ind w:left="360"/>
        <w:rPr>
          <w:rFonts w:ascii="Arial" w:hAnsi="Arial" w:cs="Arial"/>
          <w:sz w:val="24"/>
          <w:szCs w:val="24"/>
          <w:lang w:val="en-AU"/>
        </w:rPr>
      </w:pPr>
    </w:p>
    <w:p w14:paraId="045E02E4" w14:textId="77777777" w:rsidR="004431FE" w:rsidRDefault="004431FE" w:rsidP="00A119C6">
      <w:pPr>
        <w:rPr>
          <w:rFonts w:ascii="Arial" w:hAnsi="Arial" w:cs="Arial"/>
          <w:sz w:val="24"/>
          <w:szCs w:val="24"/>
          <w:lang w:val="en-AU"/>
        </w:rPr>
      </w:pPr>
      <w:r>
        <w:rPr>
          <w:rFonts w:ascii="Arial" w:hAnsi="Arial" w:cs="Arial"/>
          <w:sz w:val="24"/>
          <w:szCs w:val="24"/>
          <w:lang w:val="en-AU"/>
        </w:rPr>
        <w:t xml:space="preserve">A number of </w:t>
      </w:r>
      <w:r w:rsidRPr="009E3DBF">
        <w:rPr>
          <w:rFonts w:ascii="Arial" w:hAnsi="Arial" w:cs="Arial"/>
          <w:sz w:val="24"/>
          <w:szCs w:val="24"/>
          <w:u w:val="single"/>
          <w:lang w:val="en-AU"/>
        </w:rPr>
        <w:t>Australian Quakers</w:t>
      </w:r>
      <w:r>
        <w:rPr>
          <w:rFonts w:ascii="Arial" w:hAnsi="Arial" w:cs="Arial"/>
          <w:sz w:val="24"/>
          <w:szCs w:val="24"/>
          <w:lang w:val="en-AU"/>
        </w:rPr>
        <w:t xml:space="preserve"> have been engaged in connections with Israel/Palestine, including through peace teams and accompaniment programs. There is still scope for taking up such opportunities. </w:t>
      </w:r>
    </w:p>
    <w:p w14:paraId="25A19AA1" w14:textId="77777777" w:rsidR="004431FE" w:rsidRDefault="004431FE" w:rsidP="001A1109">
      <w:pPr>
        <w:ind w:left="360"/>
        <w:rPr>
          <w:rFonts w:ascii="Arial" w:hAnsi="Arial" w:cs="Arial"/>
          <w:sz w:val="24"/>
          <w:szCs w:val="24"/>
          <w:lang w:val="en-AU"/>
        </w:rPr>
      </w:pPr>
    </w:p>
    <w:p w14:paraId="43B5D600" w14:textId="77777777" w:rsidR="00A06CB3" w:rsidRDefault="00A06CB3" w:rsidP="00A119C6">
      <w:pPr>
        <w:rPr>
          <w:rFonts w:ascii="Arial" w:hAnsi="Arial" w:cs="Arial"/>
          <w:sz w:val="24"/>
          <w:szCs w:val="24"/>
          <w:lang w:val="en-AU"/>
        </w:rPr>
      </w:pPr>
      <w:r>
        <w:rPr>
          <w:rFonts w:ascii="Arial" w:hAnsi="Arial" w:cs="Arial"/>
          <w:sz w:val="24"/>
          <w:szCs w:val="24"/>
          <w:lang w:val="en-AU"/>
        </w:rPr>
        <w:t xml:space="preserve">QPLC has issued a number of </w:t>
      </w:r>
      <w:r w:rsidRPr="000F04EF">
        <w:rPr>
          <w:rFonts w:ascii="Arial" w:hAnsi="Arial" w:cs="Arial"/>
          <w:i/>
          <w:sz w:val="24"/>
          <w:szCs w:val="24"/>
          <w:lang w:val="en-AU"/>
        </w:rPr>
        <w:t>Watching Briefs</w:t>
      </w:r>
      <w:r>
        <w:rPr>
          <w:rFonts w:ascii="Arial" w:hAnsi="Arial" w:cs="Arial"/>
          <w:sz w:val="24"/>
          <w:szCs w:val="24"/>
          <w:lang w:val="en-AU"/>
        </w:rPr>
        <w:t xml:space="preserve"> over the years (</w:t>
      </w:r>
      <w:proofErr w:type="gramStart"/>
      <w:r>
        <w:rPr>
          <w:rFonts w:ascii="Arial" w:hAnsi="Arial" w:cs="Arial"/>
          <w:sz w:val="24"/>
          <w:szCs w:val="24"/>
          <w:lang w:val="en-AU"/>
        </w:rPr>
        <w:t>e.g.</w:t>
      </w:r>
      <w:proofErr w:type="gramEnd"/>
      <w:r>
        <w:rPr>
          <w:rFonts w:ascii="Arial" w:hAnsi="Arial" w:cs="Arial"/>
          <w:sz w:val="24"/>
          <w:szCs w:val="24"/>
          <w:lang w:val="en-AU"/>
        </w:rPr>
        <w:t xml:space="preserve"> 17-3, 19-4</w:t>
      </w:r>
      <w:r w:rsidR="000F04EF">
        <w:rPr>
          <w:rFonts w:ascii="Arial" w:hAnsi="Arial" w:cs="Arial"/>
          <w:sz w:val="24"/>
          <w:szCs w:val="24"/>
          <w:lang w:val="en-AU"/>
        </w:rPr>
        <w:t>, 20-12</w:t>
      </w:r>
      <w:r>
        <w:rPr>
          <w:rFonts w:ascii="Arial" w:hAnsi="Arial" w:cs="Arial"/>
          <w:sz w:val="24"/>
          <w:szCs w:val="24"/>
          <w:lang w:val="en-AU"/>
        </w:rPr>
        <w:t>) about the Israel-Palestine conflict, and encouraged Friends to consider options such as the BDS campaign to disengage with the occupied settlements policy.</w:t>
      </w:r>
      <w:r w:rsidR="00500F69">
        <w:rPr>
          <w:rFonts w:ascii="Arial" w:hAnsi="Arial" w:cs="Arial"/>
          <w:sz w:val="24"/>
          <w:szCs w:val="24"/>
          <w:lang w:val="en-AU"/>
        </w:rPr>
        <w:t xml:space="preserve"> </w:t>
      </w:r>
      <w:r w:rsidR="00A119C6">
        <w:rPr>
          <w:rFonts w:ascii="Arial" w:hAnsi="Arial" w:cs="Arial"/>
          <w:sz w:val="24"/>
          <w:szCs w:val="24"/>
          <w:lang w:val="en-AU"/>
        </w:rPr>
        <w:t>Friend</w:t>
      </w:r>
      <w:r w:rsidR="000F04EF">
        <w:rPr>
          <w:rFonts w:ascii="Arial" w:hAnsi="Arial" w:cs="Arial"/>
          <w:sz w:val="24"/>
          <w:szCs w:val="24"/>
          <w:lang w:val="en-AU"/>
        </w:rPr>
        <w:t>s</w:t>
      </w:r>
      <w:r w:rsidR="00A119C6">
        <w:rPr>
          <w:rFonts w:ascii="Arial" w:hAnsi="Arial" w:cs="Arial"/>
          <w:sz w:val="24"/>
          <w:szCs w:val="24"/>
          <w:lang w:val="en-AU"/>
        </w:rPr>
        <w:t xml:space="preserve"> might also link with </w:t>
      </w:r>
      <w:r w:rsidR="000F04EF">
        <w:rPr>
          <w:rFonts w:ascii="Arial" w:hAnsi="Arial" w:cs="Arial"/>
          <w:sz w:val="24"/>
          <w:szCs w:val="24"/>
          <w:lang w:val="en-AU"/>
        </w:rPr>
        <w:t>A</w:t>
      </w:r>
      <w:r w:rsidR="00A119C6">
        <w:rPr>
          <w:rFonts w:ascii="Arial" w:hAnsi="Arial" w:cs="Arial"/>
          <w:sz w:val="24"/>
          <w:szCs w:val="24"/>
          <w:lang w:val="en-AU"/>
        </w:rPr>
        <w:t xml:space="preserve">PAN in public events they initiate. </w:t>
      </w:r>
      <w:r w:rsidR="00500F69">
        <w:rPr>
          <w:rFonts w:ascii="Arial" w:hAnsi="Arial" w:cs="Arial"/>
          <w:sz w:val="24"/>
          <w:szCs w:val="24"/>
          <w:lang w:val="en-AU"/>
        </w:rPr>
        <w:t>QPLC will follow up the concerns raised by APAN about recognition for Palestine, and the investigation by</w:t>
      </w:r>
      <w:r w:rsidR="00505ACD">
        <w:rPr>
          <w:rFonts w:ascii="Arial" w:hAnsi="Arial" w:cs="Arial"/>
          <w:sz w:val="24"/>
          <w:szCs w:val="24"/>
          <w:lang w:val="en-AU"/>
        </w:rPr>
        <w:t xml:space="preserve"> the ICC of human rights abuses.</w:t>
      </w:r>
    </w:p>
    <w:p w14:paraId="31DF8ABA" w14:textId="77777777" w:rsidR="00D549A6" w:rsidRDefault="00D549A6" w:rsidP="00A119C6">
      <w:pPr>
        <w:rPr>
          <w:rFonts w:ascii="Arial" w:hAnsi="Arial" w:cs="Arial"/>
          <w:sz w:val="24"/>
          <w:szCs w:val="24"/>
          <w:lang w:val="en-AU"/>
        </w:rPr>
      </w:pPr>
    </w:p>
    <w:p w14:paraId="67D9DB68" w14:textId="77777777" w:rsidR="00505ACD" w:rsidRPr="00505ACD" w:rsidRDefault="00505ACD" w:rsidP="00A119C6">
      <w:pPr>
        <w:rPr>
          <w:rFonts w:ascii="Arial" w:hAnsi="Arial" w:cs="Arial"/>
          <w:b/>
          <w:sz w:val="24"/>
          <w:szCs w:val="24"/>
          <w:lang w:val="en-AU"/>
        </w:rPr>
      </w:pPr>
      <w:r w:rsidRPr="00505ACD">
        <w:rPr>
          <w:rFonts w:ascii="Arial" w:hAnsi="Arial" w:cs="Arial"/>
          <w:b/>
          <w:sz w:val="24"/>
          <w:szCs w:val="24"/>
          <w:lang w:val="en-AU"/>
        </w:rPr>
        <w:t>Suggested Action</w:t>
      </w:r>
    </w:p>
    <w:p w14:paraId="2BC31CD1" w14:textId="77777777" w:rsidR="00505ACD" w:rsidRDefault="00505ACD" w:rsidP="00A119C6">
      <w:pPr>
        <w:rPr>
          <w:rFonts w:ascii="Arial" w:hAnsi="Arial" w:cs="Arial"/>
          <w:sz w:val="24"/>
          <w:szCs w:val="24"/>
          <w:lang w:val="en-AU"/>
        </w:rPr>
      </w:pPr>
    </w:p>
    <w:p w14:paraId="77355750" w14:textId="77777777" w:rsidR="00505ACD" w:rsidRDefault="00505ACD" w:rsidP="00505ACD">
      <w:pPr>
        <w:numPr>
          <w:ilvl w:val="0"/>
          <w:numId w:val="43"/>
        </w:numPr>
        <w:rPr>
          <w:rFonts w:ascii="Arial" w:hAnsi="Arial" w:cs="Arial"/>
          <w:sz w:val="24"/>
          <w:szCs w:val="24"/>
          <w:lang w:val="en-AU"/>
        </w:rPr>
      </w:pPr>
      <w:r>
        <w:rPr>
          <w:rFonts w:ascii="Arial" w:hAnsi="Arial" w:cs="Arial"/>
          <w:sz w:val="24"/>
          <w:szCs w:val="24"/>
          <w:lang w:val="en-AU"/>
        </w:rPr>
        <w:t>Advocate with MPs and Senators that Australia should formally recognise Palestine, giving them diplomatic equality with other nations.</w:t>
      </w:r>
    </w:p>
    <w:p w14:paraId="54638CA6" w14:textId="77777777" w:rsidR="00505ACD" w:rsidRDefault="00505ACD" w:rsidP="00505ACD">
      <w:pPr>
        <w:numPr>
          <w:ilvl w:val="0"/>
          <w:numId w:val="43"/>
        </w:numPr>
        <w:rPr>
          <w:rFonts w:ascii="Arial" w:hAnsi="Arial" w:cs="Arial"/>
          <w:sz w:val="24"/>
          <w:szCs w:val="24"/>
          <w:lang w:val="en-AU"/>
        </w:rPr>
      </w:pPr>
      <w:r>
        <w:rPr>
          <w:rFonts w:ascii="Arial" w:hAnsi="Arial" w:cs="Arial"/>
          <w:sz w:val="24"/>
          <w:szCs w:val="24"/>
          <w:lang w:val="en-AU"/>
        </w:rPr>
        <w:lastRenderedPageBreak/>
        <w:t>Speak out against Israeli human rights abuses, including the expansion of settlements on stolen land, the blockade of Gaza, and traumatic treatment of Palestinian children by the Israeli military.</w:t>
      </w:r>
    </w:p>
    <w:p w14:paraId="0A17AE6D" w14:textId="77777777" w:rsidR="0058351A" w:rsidRPr="0058351A" w:rsidRDefault="0058351A" w:rsidP="0058351A">
      <w:pPr>
        <w:numPr>
          <w:ilvl w:val="0"/>
          <w:numId w:val="43"/>
        </w:numPr>
        <w:rPr>
          <w:rFonts w:ascii="Arial" w:hAnsi="Arial" w:cs="Arial"/>
          <w:sz w:val="24"/>
          <w:szCs w:val="24"/>
          <w:lang w:val="en-AU"/>
        </w:rPr>
      </w:pPr>
      <w:r w:rsidRPr="0058351A">
        <w:rPr>
          <w:rFonts w:ascii="Arial" w:hAnsi="Arial" w:cs="Arial"/>
          <w:sz w:val="24"/>
          <w:szCs w:val="24"/>
        </w:rPr>
        <w:t>Encourage the Aus</w:t>
      </w:r>
      <w:r>
        <w:rPr>
          <w:rFonts w:ascii="Arial" w:hAnsi="Arial" w:cs="Arial"/>
          <w:sz w:val="24"/>
          <w:szCs w:val="24"/>
        </w:rPr>
        <w:t>t</w:t>
      </w:r>
      <w:r w:rsidRPr="0058351A">
        <w:rPr>
          <w:rFonts w:ascii="Arial" w:hAnsi="Arial" w:cs="Arial"/>
          <w:sz w:val="24"/>
          <w:szCs w:val="24"/>
        </w:rPr>
        <w:t>rali</w:t>
      </w:r>
      <w:r>
        <w:rPr>
          <w:rFonts w:ascii="Arial" w:hAnsi="Arial" w:cs="Arial"/>
          <w:sz w:val="24"/>
          <w:szCs w:val="24"/>
        </w:rPr>
        <w:t>an government to support the si</w:t>
      </w:r>
      <w:r w:rsidRPr="0058351A">
        <w:rPr>
          <w:rFonts w:ascii="Arial" w:hAnsi="Arial" w:cs="Arial"/>
          <w:sz w:val="24"/>
          <w:szCs w:val="24"/>
        </w:rPr>
        <w:t xml:space="preserve">x human rights NGOs who </w:t>
      </w:r>
      <w:r>
        <w:rPr>
          <w:rFonts w:ascii="Arial" w:hAnsi="Arial" w:cs="Arial"/>
          <w:sz w:val="24"/>
          <w:szCs w:val="24"/>
        </w:rPr>
        <w:t>have been outlawed by Israel.</w:t>
      </w:r>
    </w:p>
    <w:p w14:paraId="498B3136" w14:textId="77777777" w:rsidR="0058351A" w:rsidRPr="0058351A" w:rsidRDefault="0058351A" w:rsidP="0058351A">
      <w:pPr>
        <w:numPr>
          <w:ilvl w:val="0"/>
          <w:numId w:val="43"/>
        </w:numPr>
        <w:rPr>
          <w:rFonts w:ascii="Arial" w:hAnsi="Arial" w:cs="Arial"/>
          <w:sz w:val="24"/>
          <w:szCs w:val="24"/>
          <w:lang w:val="en-AU"/>
        </w:rPr>
      </w:pPr>
      <w:r w:rsidRPr="0058351A">
        <w:rPr>
          <w:rFonts w:ascii="Arial" w:hAnsi="Arial" w:cs="Arial"/>
          <w:sz w:val="24"/>
          <w:szCs w:val="24"/>
        </w:rPr>
        <w:t> Explore the apartheid related issues in response to the inequitable approaches to the Palestinians and the Israelis.</w:t>
      </w:r>
    </w:p>
    <w:p w14:paraId="7BEBC57F" w14:textId="77777777" w:rsidR="00505ACD" w:rsidRDefault="00505ACD" w:rsidP="00505ACD">
      <w:pPr>
        <w:numPr>
          <w:ilvl w:val="0"/>
          <w:numId w:val="43"/>
        </w:numPr>
        <w:rPr>
          <w:rFonts w:ascii="Arial" w:hAnsi="Arial" w:cs="Arial"/>
          <w:sz w:val="24"/>
          <w:szCs w:val="24"/>
          <w:lang w:val="en-AU"/>
        </w:rPr>
      </w:pPr>
      <w:r>
        <w:rPr>
          <w:rFonts w:ascii="Arial" w:hAnsi="Arial" w:cs="Arial"/>
          <w:sz w:val="24"/>
          <w:szCs w:val="24"/>
          <w:lang w:val="en-AU"/>
        </w:rPr>
        <w:t xml:space="preserve">Support public events arranged by APAN- see  </w:t>
      </w:r>
      <w:hyperlink r:id="rId14" w:history="1">
        <w:r w:rsidRPr="009742AA">
          <w:rPr>
            <w:rStyle w:val="Hyperlink"/>
            <w:rFonts w:ascii="Arial" w:hAnsi="Arial" w:cs="Arial"/>
            <w:sz w:val="24"/>
            <w:szCs w:val="24"/>
            <w:lang w:val="en-AU"/>
          </w:rPr>
          <w:t>www.apan.org.au</w:t>
        </w:r>
      </w:hyperlink>
    </w:p>
    <w:p w14:paraId="1F049405" w14:textId="77777777" w:rsidR="00505ACD" w:rsidRDefault="00670A20" w:rsidP="00505ACD">
      <w:pPr>
        <w:numPr>
          <w:ilvl w:val="0"/>
          <w:numId w:val="43"/>
        </w:numPr>
        <w:rPr>
          <w:rFonts w:ascii="Arial" w:hAnsi="Arial" w:cs="Arial"/>
          <w:sz w:val="24"/>
          <w:szCs w:val="24"/>
          <w:lang w:val="en-AU"/>
        </w:rPr>
      </w:pPr>
      <w:r>
        <w:rPr>
          <w:rFonts w:ascii="Arial" w:hAnsi="Arial" w:cs="Arial"/>
          <w:sz w:val="24"/>
          <w:szCs w:val="24"/>
          <w:lang w:val="en-AU"/>
        </w:rPr>
        <w:t>Make known the various ‘peace teams’ and accompaniment programs available for those wishing to spend time in the region.</w:t>
      </w:r>
    </w:p>
    <w:p w14:paraId="0DAF5976" w14:textId="77777777" w:rsidR="00505ACD" w:rsidRDefault="00505ACD" w:rsidP="00A119C6">
      <w:pPr>
        <w:rPr>
          <w:rFonts w:ascii="Arial" w:hAnsi="Arial" w:cs="Arial"/>
          <w:sz w:val="24"/>
          <w:szCs w:val="24"/>
          <w:lang w:val="en-AU"/>
        </w:rPr>
      </w:pPr>
    </w:p>
    <w:p w14:paraId="1B07CEF3" w14:textId="77777777" w:rsidR="00D549A6" w:rsidRDefault="00D549A6" w:rsidP="00A119C6">
      <w:pPr>
        <w:rPr>
          <w:rFonts w:ascii="Arial" w:hAnsi="Arial" w:cs="Arial"/>
          <w:sz w:val="24"/>
          <w:szCs w:val="24"/>
          <w:lang w:val="en-AU"/>
        </w:rPr>
      </w:pPr>
      <w:r>
        <w:rPr>
          <w:rFonts w:ascii="Arial" w:hAnsi="Arial" w:cs="Arial"/>
          <w:sz w:val="24"/>
          <w:szCs w:val="24"/>
          <w:lang w:val="en-AU"/>
        </w:rPr>
        <w:t>Canberra</w:t>
      </w:r>
    </w:p>
    <w:p w14:paraId="159AF3E8" w14:textId="77777777" w:rsidR="00D549A6" w:rsidRDefault="00D549A6" w:rsidP="00A119C6">
      <w:pPr>
        <w:rPr>
          <w:rFonts w:ascii="Arial" w:hAnsi="Arial" w:cs="Arial"/>
          <w:sz w:val="24"/>
          <w:szCs w:val="24"/>
          <w:lang w:val="en-AU"/>
        </w:rPr>
      </w:pPr>
      <w:r>
        <w:rPr>
          <w:rFonts w:ascii="Arial" w:hAnsi="Arial" w:cs="Arial"/>
          <w:sz w:val="24"/>
          <w:szCs w:val="24"/>
          <w:lang w:val="en-AU"/>
        </w:rPr>
        <w:t>June 2022</w:t>
      </w:r>
    </w:p>
    <w:p w14:paraId="748BC486" w14:textId="77777777" w:rsidR="00E00130" w:rsidRDefault="00E00130" w:rsidP="00A119C6">
      <w:pPr>
        <w:rPr>
          <w:rFonts w:ascii="Arial" w:hAnsi="Arial" w:cs="Arial"/>
          <w:sz w:val="24"/>
          <w:szCs w:val="24"/>
          <w:lang w:val="en-AU"/>
        </w:rPr>
      </w:pPr>
    </w:p>
    <w:p w14:paraId="30FF4031" w14:textId="77777777" w:rsidR="00E00130" w:rsidRPr="00E00130" w:rsidRDefault="00E00130" w:rsidP="00E00130">
      <w:pPr>
        <w:rPr>
          <w:rFonts w:ascii="Arial" w:hAnsi="Arial" w:cs="Arial"/>
          <w:sz w:val="24"/>
          <w:szCs w:val="24"/>
          <w:lang w:val="en-AU"/>
        </w:rPr>
      </w:pPr>
      <w:r>
        <w:rPr>
          <w:rFonts w:ascii="Arial" w:hAnsi="Arial" w:cs="Arial"/>
          <w:sz w:val="24"/>
          <w:szCs w:val="24"/>
          <w:lang w:val="en-AU"/>
        </w:rPr>
        <w:t>Appendix: R</w:t>
      </w:r>
      <w:proofErr w:type="spellStart"/>
      <w:r>
        <w:rPr>
          <w:rStyle w:val="Strong"/>
          <w:rFonts w:ascii="Arial" w:hAnsi="Arial" w:cs="Arial"/>
          <w:color w:val="444444"/>
          <w:sz w:val="23"/>
          <w:szCs w:val="23"/>
        </w:rPr>
        <w:t>eport</w:t>
      </w:r>
      <w:proofErr w:type="spellEnd"/>
      <w:r>
        <w:rPr>
          <w:rStyle w:val="Strong"/>
          <w:rFonts w:ascii="Arial" w:hAnsi="Arial" w:cs="Arial"/>
          <w:color w:val="444444"/>
          <w:sz w:val="23"/>
          <w:szCs w:val="23"/>
        </w:rPr>
        <w:t>: ending the continued Israeli occupation and discrimination against Palestinians is essential to stopping the conflict and halting the persistent cycle of violence, while a ‘culture of impunity’ feeds resentment and fuels recurrent tensions, instability, and protraction of conflict</w:t>
      </w:r>
    </w:p>
    <w:p w14:paraId="4B4E66DA"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GENEVA (7 June 2022) - The continued occupation by Israel of Palestinian territory and discrimination against Palestinians are the key root causes of the recurrent tensions, instability and protraction of conflict in the region, according to the first </w:t>
      </w:r>
      <w:hyperlink r:id="rId15" w:history="1">
        <w:r w:rsidRPr="00E00130">
          <w:rPr>
            <w:rStyle w:val="Hyperlink"/>
            <w:rFonts w:ascii="Arial" w:hAnsi="Arial" w:cs="Arial"/>
            <w:b/>
            <w:bCs/>
            <w:sz w:val="22"/>
            <w:szCs w:val="22"/>
          </w:rPr>
          <w:t>report</w:t>
        </w:r>
      </w:hyperlink>
      <w:r w:rsidRPr="00E00130">
        <w:rPr>
          <w:rFonts w:ascii="Arial" w:hAnsi="Arial" w:cs="Arial"/>
          <w:color w:val="444444"/>
          <w:sz w:val="22"/>
          <w:szCs w:val="22"/>
        </w:rPr>
        <w:t> by the new United Nations Independent International </w:t>
      </w:r>
      <w:hyperlink r:id="rId16" w:history="1">
        <w:r w:rsidRPr="00E00130">
          <w:rPr>
            <w:rStyle w:val="Hyperlink"/>
            <w:rFonts w:ascii="Arial" w:hAnsi="Arial" w:cs="Arial"/>
            <w:b/>
            <w:bCs/>
            <w:sz w:val="22"/>
            <w:szCs w:val="22"/>
          </w:rPr>
          <w:t>Commission of Inquiry</w:t>
        </w:r>
      </w:hyperlink>
      <w:r w:rsidRPr="00E00130">
        <w:rPr>
          <w:rFonts w:ascii="Arial" w:hAnsi="Arial" w:cs="Arial"/>
          <w:color w:val="444444"/>
          <w:sz w:val="22"/>
          <w:szCs w:val="22"/>
        </w:rPr>
        <w:t> on the Occupied Palestinian Territory, including East Jerusalem, and Israel, issued today.</w:t>
      </w:r>
    </w:p>
    <w:p w14:paraId="19CC84E0"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 xml:space="preserve">The Commission also noted that impunity is feeding increased resentment among the Palestinian people. It identified forced displacement, threats of forced displacement, demolitions, settlement construction and expansion, settler violence, and the blockade of Gaza as contributing factors to recurring cycles of </w:t>
      </w:r>
      <w:proofErr w:type="spellStart"/>
      <w:r w:rsidRPr="00E00130">
        <w:rPr>
          <w:rFonts w:ascii="Arial" w:hAnsi="Arial" w:cs="Arial"/>
          <w:color w:val="444444"/>
          <w:sz w:val="22"/>
          <w:szCs w:val="22"/>
        </w:rPr>
        <w:t>violence.“The</w:t>
      </w:r>
      <w:proofErr w:type="spellEnd"/>
      <w:r w:rsidRPr="00E00130">
        <w:rPr>
          <w:rFonts w:ascii="Arial" w:hAnsi="Arial" w:cs="Arial"/>
          <w:color w:val="444444"/>
          <w:sz w:val="22"/>
          <w:szCs w:val="22"/>
        </w:rPr>
        <w:t xml:space="preserve"> findings and recommendations relevant to the underlying root causes were overwhelmingly directed towards Israel, which we have taken as an indicator of the asymmetrical nature of the conflict and the reality of one State occupying the other,” Navanethem Pillay, chair of the Commission, said.</w:t>
      </w:r>
    </w:p>
    <w:p w14:paraId="56124A62"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The Commission released its 18-page report after conducting an assessment of recommendations made by previous Commissions of Inquiry and Fact-Finding Missions, as well as other United Nations mechanisms and its own hearings.</w:t>
      </w:r>
      <w:r w:rsidR="003079F3">
        <w:rPr>
          <w:rFonts w:ascii="Arial" w:hAnsi="Arial" w:cs="Arial"/>
          <w:color w:val="444444"/>
          <w:sz w:val="22"/>
          <w:szCs w:val="22"/>
        </w:rPr>
        <w:t xml:space="preserve"> </w:t>
      </w:r>
      <w:r w:rsidRPr="00E00130">
        <w:rPr>
          <w:rFonts w:ascii="Arial" w:hAnsi="Arial" w:cs="Arial"/>
          <w:color w:val="444444"/>
          <w:sz w:val="22"/>
          <w:szCs w:val="22"/>
        </w:rPr>
        <w:t>The Commission undertook two missions to Geneva and one to Jordan, and held consultations with various stakeholders, including Israeli and Palestinian civil society organizations.</w:t>
      </w:r>
    </w:p>
    <w:p w14:paraId="16BC769C"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“We also found that these recommendations have overwhelmingly not been implemented, including calls to ensure accountability for Israel’s violations of international humanitarian and human rights law and the indiscriminate firing of rockets fire by Palestinian armed groups into Israel. It is this lack of implementation coupled with a sense of impunity, clear evidence that Israel has no intention of ending the occupation, and the persistent discrimination against Palestinians that lies at the heart of the systematic recurrence of violations in both the Occupied Palestinian Territory, including East Jerusalem, and Israel,” Ms. Pillay added.</w:t>
      </w:r>
    </w:p>
    <w:p w14:paraId="571EEC74"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lastRenderedPageBreak/>
        <w:t>In its report, the Commission focused on the findings and recommendations directly related to underlying root causes of recurrent tensions, instability and protraction of conflict. In its assessment, key recommendations have not been implemented and this lies at the heart of the conflict. The Commission identified several overarching issues that lay at the core of most recommendations, including Israel’s failure to uphold the laws and customs of war, including those of belligerent occupation, violations and abuses of individual and collective rights, and a lack of accountability.</w:t>
      </w:r>
    </w:p>
    <w:p w14:paraId="5861F74E"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 xml:space="preserve">“Our review of the findings and recommendations of previous UN mechanisms and bodies clearly indicates that ending Israel’s occupation, in full conformity with Security Council resolutions, remains essential in stopping the persistent cycle of violence. It is only with the ending of occupation that the world can begin to reverse historical injustices and move towards self-determination of the Palestinian peoples,” Commissioner </w:t>
      </w:r>
      <w:proofErr w:type="spellStart"/>
      <w:r w:rsidRPr="00E00130">
        <w:rPr>
          <w:rFonts w:ascii="Arial" w:hAnsi="Arial" w:cs="Arial"/>
          <w:color w:val="444444"/>
          <w:sz w:val="22"/>
          <w:szCs w:val="22"/>
        </w:rPr>
        <w:t>Miloon</w:t>
      </w:r>
      <w:proofErr w:type="spellEnd"/>
      <w:r w:rsidRPr="00E00130">
        <w:rPr>
          <w:rFonts w:ascii="Arial" w:hAnsi="Arial" w:cs="Arial"/>
          <w:color w:val="444444"/>
          <w:sz w:val="22"/>
          <w:szCs w:val="22"/>
        </w:rPr>
        <w:t xml:space="preserve"> Kothari noted.</w:t>
      </w:r>
    </w:p>
    <w:p w14:paraId="41594B05"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 xml:space="preserve">Commissioner Chris </w:t>
      </w:r>
      <w:proofErr w:type="spellStart"/>
      <w:r w:rsidRPr="00E00130">
        <w:rPr>
          <w:rFonts w:ascii="Arial" w:hAnsi="Arial" w:cs="Arial"/>
          <w:color w:val="444444"/>
          <w:sz w:val="22"/>
          <w:szCs w:val="22"/>
        </w:rPr>
        <w:t>Sidoti</w:t>
      </w:r>
      <w:proofErr w:type="spellEnd"/>
      <w:r w:rsidRPr="00E00130">
        <w:rPr>
          <w:rFonts w:ascii="Arial" w:hAnsi="Arial" w:cs="Arial"/>
          <w:color w:val="444444"/>
          <w:sz w:val="22"/>
          <w:szCs w:val="22"/>
        </w:rPr>
        <w:t xml:space="preserve"> added: “Israel clearly has no intention of ending the occupation. In fact, it has established clear policies to ensure complete permanent control over the Occupied Palestinian Territory. This includes altering the demography of these territories through the maintenance of a repressive environment for Palestinians and a favourable environment for Israeli settlers. Israel's policies and actions build Palestinian frustration and lead to a sense of despair. They fuel the cycle of violence and the protraction of conflict.”</w:t>
      </w:r>
      <w:r w:rsidR="003079F3">
        <w:rPr>
          <w:rFonts w:ascii="Arial" w:hAnsi="Arial" w:cs="Arial"/>
          <w:color w:val="444444"/>
          <w:sz w:val="22"/>
          <w:szCs w:val="22"/>
        </w:rPr>
        <w:t xml:space="preserve"> </w:t>
      </w:r>
      <w:r w:rsidRPr="00E00130">
        <w:rPr>
          <w:rFonts w:ascii="Arial" w:hAnsi="Arial" w:cs="Arial"/>
          <w:color w:val="444444"/>
          <w:sz w:val="22"/>
          <w:szCs w:val="22"/>
        </w:rPr>
        <w:t>The report also noted that the Palestinian Authority frequently uses the occupation as a justification for its own human rights violations and as the core reason for its failure to hold legislative and presidential elections. At the same time, the de facto authorities in Gaza have shown little commitment to upholding human rights, and no adherence to international humanitarian law.</w:t>
      </w:r>
    </w:p>
    <w:p w14:paraId="199FD6EF"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The report, which will be presented to the </w:t>
      </w:r>
      <w:hyperlink r:id="rId17" w:history="1">
        <w:r w:rsidRPr="00E00130">
          <w:rPr>
            <w:rStyle w:val="Hyperlink"/>
            <w:rFonts w:ascii="Arial" w:hAnsi="Arial" w:cs="Arial"/>
            <w:b/>
            <w:bCs/>
            <w:sz w:val="22"/>
            <w:szCs w:val="22"/>
          </w:rPr>
          <w:t>50th session of the Human Rights Council</w:t>
        </w:r>
      </w:hyperlink>
      <w:r w:rsidRPr="00E00130">
        <w:rPr>
          <w:rFonts w:ascii="Arial" w:hAnsi="Arial" w:cs="Arial"/>
          <w:color w:val="444444"/>
          <w:sz w:val="22"/>
          <w:szCs w:val="22"/>
        </w:rPr>
        <w:t> on 13 June 2022, concludes by laying out that the Commission will conduct investigations and legal analysis into alleged violations and abuses, and will work with judicial accountability mechanisms toward ensuring individual, State and corporate accountability. It will also carefully assess the responsibilities of third States and those of private actors in the continued policies of occupation.</w:t>
      </w:r>
    </w:p>
    <w:p w14:paraId="240559AE"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Style w:val="Strong"/>
          <w:rFonts w:ascii="Arial" w:hAnsi="Arial" w:cs="Arial"/>
          <w:color w:val="444444"/>
          <w:sz w:val="22"/>
          <w:szCs w:val="22"/>
        </w:rPr>
        <w:t>Background</w:t>
      </w:r>
    </w:p>
    <w:p w14:paraId="7C4E2D4B" w14:textId="77777777" w:rsidR="00E00130" w:rsidRPr="00E00130" w:rsidRDefault="00E00130" w:rsidP="00E00130">
      <w:pPr>
        <w:pStyle w:val="NormalWeb"/>
        <w:spacing w:before="225" w:beforeAutospacing="0" w:after="225" w:afterAutospacing="0"/>
        <w:rPr>
          <w:rFonts w:ascii="Arial" w:hAnsi="Arial" w:cs="Arial"/>
          <w:color w:val="444444"/>
          <w:sz w:val="22"/>
          <w:szCs w:val="22"/>
        </w:rPr>
      </w:pPr>
      <w:r w:rsidRPr="00E00130">
        <w:rPr>
          <w:rFonts w:ascii="Arial" w:hAnsi="Arial" w:cs="Arial"/>
          <w:color w:val="444444"/>
          <w:sz w:val="22"/>
          <w:szCs w:val="22"/>
        </w:rPr>
        <w:t>The </w:t>
      </w:r>
      <w:hyperlink r:id="rId18" w:history="1">
        <w:r w:rsidRPr="00E00130">
          <w:rPr>
            <w:rStyle w:val="Hyperlink"/>
            <w:rFonts w:ascii="Arial" w:hAnsi="Arial" w:cs="Arial"/>
            <w:b/>
            <w:bCs/>
            <w:sz w:val="22"/>
            <w:szCs w:val="22"/>
          </w:rPr>
          <w:t>UN Human Rights Council</w:t>
        </w:r>
      </w:hyperlink>
      <w:r w:rsidRPr="00E00130">
        <w:rPr>
          <w:rFonts w:ascii="Arial" w:hAnsi="Arial" w:cs="Arial"/>
          <w:color w:val="444444"/>
          <w:sz w:val="22"/>
          <w:szCs w:val="22"/>
        </w:rPr>
        <w:t xml:space="preserve"> mandated the Commission on 27 May 2021 to “investigate, in the Occupied Palestinian Territory, including East Jerusalem, and in Israel, all alleged violations of international humanitarian law and all alleged violations and abuses of international human rights law leading up and since 13 April 2021”. In July 2021, the President of the Human Rights Council announced the appointment of Navanethem Pillay (South Africa), </w:t>
      </w:r>
      <w:proofErr w:type="spellStart"/>
      <w:r w:rsidRPr="00E00130">
        <w:rPr>
          <w:rFonts w:ascii="Arial" w:hAnsi="Arial" w:cs="Arial"/>
          <w:color w:val="444444"/>
          <w:sz w:val="22"/>
          <w:szCs w:val="22"/>
        </w:rPr>
        <w:t>Miloon</w:t>
      </w:r>
      <w:proofErr w:type="spellEnd"/>
      <w:r w:rsidRPr="00E00130">
        <w:rPr>
          <w:rFonts w:ascii="Arial" w:hAnsi="Arial" w:cs="Arial"/>
          <w:color w:val="444444"/>
          <w:sz w:val="22"/>
          <w:szCs w:val="22"/>
        </w:rPr>
        <w:t xml:space="preserve"> Kothari (India) and Christopher </w:t>
      </w:r>
      <w:proofErr w:type="spellStart"/>
      <w:r w:rsidRPr="00E00130">
        <w:rPr>
          <w:rFonts w:ascii="Arial" w:hAnsi="Arial" w:cs="Arial"/>
          <w:color w:val="444444"/>
          <w:sz w:val="22"/>
          <w:szCs w:val="22"/>
        </w:rPr>
        <w:t>Sidoti</w:t>
      </w:r>
      <w:proofErr w:type="spellEnd"/>
      <w:r w:rsidRPr="00E00130">
        <w:rPr>
          <w:rFonts w:ascii="Arial" w:hAnsi="Arial" w:cs="Arial"/>
          <w:color w:val="444444"/>
          <w:sz w:val="22"/>
          <w:szCs w:val="22"/>
        </w:rPr>
        <w:t xml:space="preserve"> (Australia) to serve as the three members of the Commission and indicated that Ms. Pillay would serve as Chair. </w:t>
      </w:r>
      <w:hyperlink r:id="rId19" w:history="1">
        <w:r w:rsidRPr="00E00130">
          <w:rPr>
            <w:rStyle w:val="Hyperlink"/>
            <w:rFonts w:ascii="Arial" w:hAnsi="Arial" w:cs="Arial"/>
            <w:b/>
            <w:bCs/>
            <w:sz w:val="22"/>
            <w:szCs w:val="22"/>
          </w:rPr>
          <w:t>Resolution A/HRC/RES/S-30/1</w:t>
        </w:r>
      </w:hyperlink>
      <w:r w:rsidRPr="00E00130">
        <w:rPr>
          <w:rFonts w:ascii="Arial" w:hAnsi="Arial" w:cs="Arial"/>
          <w:color w:val="444444"/>
          <w:sz w:val="22"/>
          <w:szCs w:val="22"/>
        </w:rPr>
        <w:t> further requested the commission of inquiry to “investigate all underlying root causes of recurrent tensions, instability and protraction of conflict, including systematic discrimination and repression based on national, ethnic, racial or religious identity.” The Commission of Inquiry was mandated to report to the Human Rights Council and the General Assembly annually from June 2022 and September 2022, respectively.</w:t>
      </w:r>
    </w:p>
    <w:p w14:paraId="5E2C8237" w14:textId="77777777" w:rsidR="00E00130" w:rsidRPr="00E00130" w:rsidRDefault="00E00130" w:rsidP="00E00130">
      <w:pPr>
        <w:pStyle w:val="NormalWeb"/>
        <w:spacing w:before="225" w:beforeAutospacing="0" w:after="225" w:afterAutospacing="0"/>
        <w:jc w:val="center"/>
        <w:rPr>
          <w:rFonts w:ascii="Arial" w:hAnsi="Arial" w:cs="Arial"/>
          <w:color w:val="444444"/>
          <w:sz w:val="22"/>
          <w:szCs w:val="22"/>
        </w:rPr>
      </w:pPr>
      <w:r w:rsidRPr="00E00130">
        <w:rPr>
          <w:rFonts w:ascii="Arial" w:hAnsi="Arial" w:cs="Arial"/>
          <w:color w:val="444444"/>
          <w:sz w:val="22"/>
          <w:szCs w:val="22"/>
        </w:rPr>
        <w:lastRenderedPageBreak/>
        <w:t>***</w:t>
      </w:r>
    </w:p>
    <w:p w14:paraId="6C8C6E71" w14:textId="77777777" w:rsidR="00E00130" w:rsidRPr="00E00130" w:rsidRDefault="00E00130" w:rsidP="00A119C6">
      <w:pPr>
        <w:rPr>
          <w:rFonts w:ascii="Arial" w:hAnsi="Arial" w:cs="Arial"/>
          <w:sz w:val="22"/>
          <w:szCs w:val="22"/>
          <w:lang w:val="en-AU"/>
        </w:rPr>
      </w:pPr>
    </w:p>
    <w:sectPr w:rsidR="00E00130" w:rsidRPr="00E00130" w:rsidSect="00AF2F28">
      <w:headerReference w:type="even" r:id="rId20"/>
      <w:headerReference w:type="default" r:id="rId21"/>
      <w:pgSz w:w="11907" w:h="16839" w:code="9"/>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9104" w14:textId="77777777" w:rsidR="00792CDA" w:rsidRDefault="00792CDA">
      <w:r>
        <w:separator/>
      </w:r>
    </w:p>
  </w:endnote>
  <w:endnote w:type="continuationSeparator" w:id="0">
    <w:p w14:paraId="7A6DC9ED" w14:textId="77777777" w:rsidR="00792CDA" w:rsidRDefault="0079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DFB1" w14:textId="77777777" w:rsidR="00792CDA" w:rsidRDefault="00792CDA">
      <w:r>
        <w:separator/>
      </w:r>
    </w:p>
  </w:footnote>
  <w:footnote w:type="continuationSeparator" w:id="0">
    <w:p w14:paraId="08B1D5B3" w14:textId="77777777" w:rsidR="00792CDA" w:rsidRDefault="0079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15D3" w14:textId="77777777" w:rsidR="000B3124" w:rsidRDefault="000B3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2A0051" w14:textId="77777777" w:rsidR="000B3124" w:rsidRDefault="000B3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9B8A" w14:textId="77777777" w:rsidR="000B3124" w:rsidRDefault="000B3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C80">
      <w:rPr>
        <w:rStyle w:val="PageNumber"/>
        <w:noProof/>
      </w:rPr>
      <w:t>4</w:t>
    </w:r>
    <w:r>
      <w:rPr>
        <w:rStyle w:val="PageNumber"/>
      </w:rPr>
      <w:fldChar w:fldCharType="end"/>
    </w:r>
  </w:p>
  <w:p w14:paraId="2A9AE702" w14:textId="77777777" w:rsidR="000B3124" w:rsidRDefault="000B3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F1AB7"/>
    <w:multiLevelType w:val="hybridMultilevel"/>
    <w:tmpl w:val="FAA5DD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58E6"/>
    <w:multiLevelType w:val="hybridMultilevel"/>
    <w:tmpl w:val="4F501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3345EA"/>
    <w:multiLevelType w:val="multilevel"/>
    <w:tmpl w:val="C3D8B84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937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DE2B75"/>
    <w:multiLevelType w:val="multilevel"/>
    <w:tmpl w:val="B7329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4327A"/>
    <w:multiLevelType w:val="hybridMultilevel"/>
    <w:tmpl w:val="6BBEE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251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776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F2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534B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84DDB"/>
    <w:multiLevelType w:val="multilevel"/>
    <w:tmpl w:val="45868D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3017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187A1E"/>
    <w:multiLevelType w:val="hybridMultilevel"/>
    <w:tmpl w:val="22100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2956AA"/>
    <w:multiLevelType w:val="hybridMultilevel"/>
    <w:tmpl w:val="EB444A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C24180"/>
    <w:multiLevelType w:val="multilevel"/>
    <w:tmpl w:val="FE1880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2B61C0F"/>
    <w:multiLevelType w:val="multilevel"/>
    <w:tmpl w:val="2ED4093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F6231B"/>
    <w:multiLevelType w:val="multilevel"/>
    <w:tmpl w:val="0A56D08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3F63A7"/>
    <w:multiLevelType w:val="multilevel"/>
    <w:tmpl w:val="8632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3B41EA"/>
    <w:multiLevelType w:val="hybridMultilevel"/>
    <w:tmpl w:val="279CCF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C2177D2"/>
    <w:multiLevelType w:val="multilevel"/>
    <w:tmpl w:val="0090F284"/>
    <w:lvl w:ilvl="0">
      <w:start w:val="2"/>
      <w:numFmt w:val="decimal"/>
      <w:lvlText w:val="%1"/>
      <w:lvlJc w:val="left"/>
      <w:pPr>
        <w:tabs>
          <w:tab w:val="num" w:pos="465"/>
        </w:tabs>
        <w:ind w:left="465" w:hanging="465"/>
      </w:pPr>
      <w:rPr>
        <w:rFonts w:hint="default"/>
      </w:rPr>
    </w:lvl>
    <w:lvl w:ilvl="1">
      <w:start w:val="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BF683C"/>
    <w:multiLevelType w:val="hybridMultilevel"/>
    <w:tmpl w:val="2F3E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14F90"/>
    <w:multiLevelType w:val="multilevel"/>
    <w:tmpl w:val="143EF09E"/>
    <w:styleLink w:val="WWNum1"/>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5D2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AE6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8F4BE6"/>
    <w:multiLevelType w:val="hybridMultilevel"/>
    <w:tmpl w:val="FC725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B748D"/>
    <w:multiLevelType w:val="hybridMultilevel"/>
    <w:tmpl w:val="1A28F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85A4209"/>
    <w:multiLevelType w:val="hybridMultilevel"/>
    <w:tmpl w:val="2BFE2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7D0206"/>
    <w:multiLevelType w:val="hybridMultilevel"/>
    <w:tmpl w:val="87DEC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166408"/>
    <w:multiLevelType w:val="hybridMultilevel"/>
    <w:tmpl w:val="CAD03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3F17035"/>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7526ED0"/>
    <w:multiLevelType w:val="hybridMultilevel"/>
    <w:tmpl w:val="82F80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872047"/>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69BE5FD8"/>
    <w:multiLevelType w:val="hybridMultilevel"/>
    <w:tmpl w:val="FFF63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964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53596F"/>
    <w:multiLevelType w:val="hybridMultilevel"/>
    <w:tmpl w:val="790C3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901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5B2299"/>
    <w:multiLevelType w:val="multilevel"/>
    <w:tmpl w:val="01BE24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EC5373"/>
    <w:multiLevelType w:val="singleLevel"/>
    <w:tmpl w:val="0409000F"/>
    <w:lvl w:ilvl="0">
      <w:start w:val="1"/>
      <w:numFmt w:val="decimal"/>
      <w:lvlText w:val="%1."/>
      <w:lvlJc w:val="left"/>
      <w:pPr>
        <w:tabs>
          <w:tab w:val="num" w:pos="360"/>
        </w:tabs>
        <w:ind w:left="360" w:hanging="360"/>
      </w:pPr>
      <w:rPr>
        <w:rFonts w:hint="default"/>
      </w:rPr>
    </w:lvl>
  </w:abstractNum>
  <w:num w:numId="1">
    <w:abstractNumId w:val="37"/>
  </w:num>
  <w:num w:numId="2">
    <w:abstractNumId w:val="10"/>
  </w:num>
  <w:num w:numId="3">
    <w:abstractNumId w:val="24"/>
  </w:num>
  <w:num w:numId="4">
    <w:abstractNumId w:val="12"/>
  </w:num>
  <w:num w:numId="5">
    <w:abstractNumId w:val="7"/>
  </w:num>
  <w:num w:numId="6">
    <w:abstractNumId w:val="17"/>
  </w:num>
  <w:num w:numId="7">
    <w:abstractNumId w:val="2"/>
  </w:num>
  <w:num w:numId="8">
    <w:abstractNumId w:val="9"/>
  </w:num>
  <w:num w:numId="9">
    <w:abstractNumId w:val="38"/>
  </w:num>
  <w:num w:numId="10">
    <w:abstractNumId w:val="20"/>
  </w:num>
  <w:num w:numId="11">
    <w:abstractNumId w:val="11"/>
  </w:num>
  <w:num w:numId="12">
    <w:abstractNumId w:val="6"/>
  </w:num>
  <w:num w:numId="13">
    <w:abstractNumId w:val="33"/>
  </w:num>
  <w:num w:numId="14">
    <w:abstractNumId w:val="8"/>
  </w:num>
  <w:num w:numId="15">
    <w:abstractNumId w:val="39"/>
  </w:num>
  <w:num w:numId="16">
    <w:abstractNumId w:val="25"/>
  </w:num>
  <w:num w:numId="17">
    <w:abstractNumId w:val="3"/>
  </w:num>
  <w:num w:numId="18">
    <w:abstractNumId w:val="31"/>
  </w:num>
  <w:num w:numId="19">
    <w:abstractNumId w:val="35"/>
  </w:num>
  <w:num w:numId="20">
    <w:abstractNumId w:val="36"/>
  </w:num>
  <w:num w:numId="21">
    <w:abstractNumId w:val="32"/>
  </w:num>
  <w:num w:numId="22">
    <w:abstractNumId w:val="29"/>
  </w:num>
  <w:num w:numId="23">
    <w:abstractNumId w:val="13"/>
  </w:num>
  <w:num w:numId="24">
    <w:abstractNumId w:val="5"/>
  </w:num>
  <w:num w:numId="25">
    <w:abstractNumId w:val="34"/>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7"/>
  </w:num>
  <w:num w:numId="36">
    <w:abstractNumId w:val="14"/>
  </w:num>
  <w:num w:numId="37">
    <w:abstractNumId w:val="28"/>
  </w:num>
  <w:num w:numId="38">
    <w:abstractNumId w:val="1"/>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2"/>
  </w:num>
  <w:num w:numId="42">
    <w:abstractNumId w:val="0"/>
  </w:num>
  <w:num w:numId="43">
    <w:abstractNumId w:val="21"/>
  </w:num>
  <w:num w:numId="44">
    <w:abstractNumId w:val="2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16"/>
    <w:rsid w:val="0000400B"/>
    <w:rsid w:val="00050AEA"/>
    <w:rsid w:val="000B3124"/>
    <w:rsid w:val="000B7BE3"/>
    <w:rsid w:val="000D665F"/>
    <w:rsid w:val="000F04EF"/>
    <w:rsid w:val="0011328B"/>
    <w:rsid w:val="00123FFF"/>
    <w:rsid w:val="001336C4"/>
    <w:rsid w:val="001343CB"/>
    <w:rsid w:val="001405DE"/>
    <w:rsid w:val="001529BF"/>
    <w:rsid w:val="001A1109"/>
    <w:rsid w:val="001A4B14"/>
    <w:rsid w:val="001A522B"/>
    <w:rsid w:val="001B4BF5"/>
    <w:rsid w:val="001B6104"/>
    <w:rsid w:val="001C4A0E"/>
    <w:rsid w:val="001E00CE"/>
    <w:rsid w:val="001E3A4C"/>
    <w:rsid w:val="001E709E"/>
    <w:rsid w:val="00222B05"/>
    <w:rsid w:val="00223905"/>
    <w:rsid w:val="00270E40"/>
    <w:rsid w:val="00283F70"/>
    <w:rsid w:val="00290CE1"/>
    <w:rsid w:val="002B0E6A"/>
    <w:rsid w:val="002C71C5"/>
    <w:rsid w:val="002F13E4"/>
    <w:rsid w:val="003079F3"/>
    <w:rsid w:val="003554A5"/>
    <w:rsid w:val="00355E35"/>
    <w:rsid w:val="0037592E"/>
    <w:rsid w:val="003831E5"/>
    <w:rsid w:val="0038754E"/>
    <w:rsid w:val="003A4B1F"/>
    <w:rsid w:val="003B3C64"/>
    <w:rsid w:val="003E2082"/>
    <w:rsid w:val="003F6E09"/>
    <w:rsid w:val="004124F7"/>
    <w:rsid w:val="00413EF8"/>
    <w:rsid w:val="004431FE"/>
    <w:rsid w:val="00452A6C"/>
    <w:rsid w:val="00467A0A"/>
    <w:rsid w:val="004B0BF2"/>
    <w:rsid w:val="004E4ED8"/>
    <w:rsid w:val="004F1095"/>
    <w:rsid w:val="004F23B3"/>
    <w:rsid w:val="00500F69"/>
    <w:rsid w:val="00505ACD"/>
    <w:rsid w:val="00532CA6"/>
    <w:rsid w:val="00533E55"/>
    <w:rsid w:val="00536616"/>
    <w:rsid w:val="00547539"/>
    <w:rsid w:val="0056203B"/>
    <w:rsid w:val="0056281E"/>
    <w:rsid w:val="0058351A"/>
    <w:rsid w:val="005A7254"/>
    <w:rsid w:val="005A7CCF"/>
    <w:rsid w:val="005B7C56"/>
    <w:rsid w:val="005D31DE"/>
    <w:rsid w:val="005E2A18"/>
    <w:rsid w:val="005E4CE6"/>
    <w:rsid w:val="005F00BE"/>
    <w:rsid w:val="00605B8D"/>
    <w:rsid w:val="00617F72"/>
    <w:rsid w:val="00625EF3"/>
    <w:rsid w:val="00635844"/>
    <w:rsid w:val="00642B45"/>
    <w:rsid w:val="00667CA5"/>
    <w:rsid w:val="00670A20"/>
    <w:rsid w:val="006726A9"/>
    <w:rsid w:val="006D79E6"/>
    <w:rsid w:val="00722767"/>
    <w:rsid w:val="00744CF6"/>
    <w:rsid w:val="00792CDA"/>
    <w:rsid w:val="007A6815"/>
    <w:rsid w:val="007C5264"/>
    <w:rsid w:val="007E55E4"/>
    <w:rsid w:val="007F20A9"/>
    <w:rsid w:val="008758B4"/>
    <w:rsid w:val="008775C5"/>
    <w:rsid w:val="008E2057"/>
    <w:rsid w:val="008E756E"/>
    <w:rsid w:val="00913124"/>
    <w:rsid w:val="00920A3A"/>
    <w:rsid w:val="009327DE"/>
    <w:rsid w:val="00935234"/>
    <w:rsid w:val="00996FD9"/>
    <w:rsid w:val="009B4233"/>
    <w:rsid w:val="009C43EC"/>
    <w:rsid w:val="009E0E53"/>
    <w:rsid w:val="009E0EDA"/>
    <w:rsid w:val="009E3DBF"/>
    <w:rsid w:val="00A04D09"/>
    <w:rsid w:val="00A06CB3"/>
    <w:rsid w:val="00A119C6"/>
    <w:rsid w:val="00A20B00"/>
    <w:rsid w:val="00A55558"/>
    <w:rsid w:val="00A73C52"/>
    <w:rsid w:val="00AC188A"/>
    <w:rsid w:val="00AD2974"/>
    <w:rsid w:val="00AF09DF"/>
    <w:rsid w:val="00AF2F28"/>
    <w:rsid w:val="00AF6604"/>
    <w:rsid w:val="00B12F05"/>
    <w:rsid w:val="00B273C4"/>
    <w:rsid w:val="00B31D05"/>
    <w:rsid w:val="00B43283"/>
    <w:rsid w:val="00B91609"/>
    <w:rsid w:val="00B94205"/>
    <w:rsid w:val="00BC5D06"/>
    <w:rsid w:val="00BF49BE"/>
    <w:rsid w:val="00BF53D9"/>
    <w:rsid w:val="00C027FE"/>
    <w:rsid w:val="00C4247A"/>
    <w:rsid w:val="00C469DA"/>
    <w:rsid w:val="00C73BA9"/>
    <w:rsid w:val="00CC6882"/>
    <w:rsid w:val="00CE39A2"/>
    <w:rsid w:val="00CF7223"/>
    <w:rsid w:val="00D21185"/>
    <w:rsid w:val="00D43329"/>
    <w:rsid w:val="00D549A6"/>
    <w:rsid w:val="00DC10D9"/>
    <w:rsid w:val="00DC2EAD"/>
    <w:rsid w:val="00DC3224"/>
    <w:rsid w:val="00DD6062"/>
    <w:rsid w:val="00DD6EB3"/>
    <w:rsid w:val="00DE3703"/>
    <w:rsid w:val="00E00130"/>
    <w:rsid w:val="00E3237A"/>
    <w:rsid w:val="00E41CCF"/>
    <w:rsid w:val="00E57E89"/>
    <w:rsid w:val="00E662C2"/>
    <w:rsid w:val="00E71B2C"/>
    <w:rsid w:val="00E812A8"/>
    <w:rsid w:val="00E84D72"/>
    <w:rsid w:val="00E867F8"/>
    <w:rsid w:val="00EA5357"/>
    <w:rsid w:val="00EB383F"/>
    <w:rsid w:val="00ED5CE4"/>
    <w:rsid w:val="00F5787A"/>
    <w:rsid w:val="00F60D3D"/>
    <w:rsid w:val="00F61320"/>
    <w:rsid w:val="00F70A8E"/>
    <w:rsid w:val="00F83FA2"/>
    <w:rsid w:val="00F87758"/>
    <w:rsid w:val="00FA3C80"/>
    <w:rsid w:val="00FC5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C5826"/>
  <w15:chartTrackingRefBased/>
  <w15:docId w15:val="{05F302CF-6138-4B38-87C1-5D11E102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aliases w:val="h1"/>
    <w:basedOn w:val="Normal"/>
    <w:next w:val="Normal"/>
    <w:qFormat/>
    <w:pPr>
      <w:keepNext/>
      <w:outlineLvl w:val="0"/>
    </w:pPr>
    <w:rPr>
      <w:b/>
      <w:sz w:val="32"/>
      <w:u w:val="single"/>
      <w:lang w:eastAsia="en-US"/>
    </w:rPr>
  </w:style>
  <w:style w:type="paragraph" w:styleId="Heading2">
    <w:name w:val="heading 2"/>
    <w:basedOn w:val="Normal"/>
    <w:next w:val="Normal"/>
    <w:qFormat/>
    <w:pPr>
      <w:keepNext/>
      <w:jc w:val="center"/>
      <w:outlineLvl w:val="1"/>
    </w:pPr>
    <w:rPr>
      <w:rFonts w:ascii="Arial" w:hAnsi="Arial"/>
      <w:sz w:val="28"/>
    </w:rPr>
  </w:style>
  <w:style w:type="paragraph" w:styleId="Heading3">
    <w:name w:val="heading 3"/>
    <w:aliases w:val="h3"/>
    <w:basedOn w:val="Normal"/>
    <w:next w:val="Normal"/>
    <w:qFormat/>
    <w:pPr>
      <w:keepNext/>
      <w:outlineLvl w:val="2"/>
    </w:pPr>
    <w:rPr>
      <w:sz w:val="28"/>
      <w:lang w:eastAsia="en-US"/>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ind w:left="5760" w:hanging="5760"/>
      <w:outlineLvl w:val="4"/>
    </w:pPr>
    <w:rPr>
      <w:rFonts w:ascii="Arial" w:hAnsi="Arial"/>
      <w:sz w:val="24"/>
    </w:rPr>
  </w:style>
  <w:style w:type="paragraph" w:styleId="Heading6">
    <w:name w:val="heading 6"/>
    <w:basedOn w:val="Normal"/>
    <w:next w:val="Normal"/>
    <w:qFormat/>
    <w:pPr>
      <w:keepNext/>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Hyperlink">
    <w:name w:val="Hyperlink"/>
    <w:semiHidden/>
    <w:rPr>
      <w:color w:val="0000FF"/>
      <w:u w:val="single"/>
    </w:rPr>
  </w:style>
  <w:style w:type="paragraph" w:customStyle="1" w:styleId="Paragraph">
    <w:name w:val="Paragraph"/>
    <w:basedOn w:val="Normal"/>
    <w:pPr>
      <w:numPr>
        <w:ilvl w:val="12"/>
      </w:numPr>
      <w:spacing w:before="240" w:line="360" w:lineRule="auto"/>
    </w:pPr>
    <w:rPr>
      <w:sz w:val="24"/>
      <w:lang w:val="en-AU" w:eastAsia="en-US"/>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H2">
    <w:name w:val="H2"/>
    <w:basedOn w:val="Normal"/>
    <w:next w:val="Normal"/>
    <w:pPr>
      <w:keepNext/>
      <w:spacing w:before="100" w:after="100"/>
      <w:outlineLvl w:val="2"/>
    </w:pPr>
    <w:rPr>
      <w:b/>
      <w:snapToGrid w:val="0"/>
      <w:sz w:val="36"/>
      <w:lang w:val="en-AU" w:eastAsia="en-US"/>
    </w:rPr>
  </w:style>
  <w:style w:type="paragraph" w:customStyle="1" w:styleId="H5">
    <w:name w:val="H5"/>
    <w:basedOn w:val="Normal"/>
    <w:next w:val="Normal"/>
    <w:pPr>
      <w:keepNext/>
      <w:spacing w:before="100" w:after="100"/>
      <w:outlineLvl w:val="5"/>
    </w:pPr>
    <w:rPr>
      <w:b/>
      <w:snapToGrid w:val="0"/>
      <w:lang w:val="en-AU" w:eastAsia="en-US"/>
    </w:rPr>
  </w:style>
  <w:style w:type="paragraph" w:styleId="Title">
    <w:name w:val="Title"/>
    <w:basedOn w:val="Normal"/>
    <w:qFormat/>
    <w:pPr>
      <w:jc w:val="center"/>
    </w:pPr>
    <w:rPr>
      <w:rFonts w:ascii="Arial" w:hAnsi="Arial"/>
      <w:sz w:val="28"/>
    </w:rPr>
  </w:style>
  <w:style w:type="paragraph" w:styleId="Subtitle">
    <w:name w:val="Subtitle"/>
    <w:basedOn w:val="Normal"/>
    <w:qFormat/>
    <w:pPr>
      <w:jc w:val="center"/>
    </w:pPr>
    <w:rPr>
      <w:rFonts w:ascii="Arial" w:hAnsi="Arial"/>
      <w:sz w:val="28"/>
    </w:rPr>
  </w:style>
  <w:style w:type="paragraph" w:styleId="BodyText">
    <w:name w:val="Body Text"/>
    <w:basedOn w:val="Normal"/>
    <w:semiHidden/>
    <w:rPr>
      <w:rFonts w:ascii="Arial" w:hAnsi="Arial"/>
      <w:sz w:val="22"/>
    </w:rPr>
  </w:style>
  <w:style w:type="paragraph" w:customStyle="1" w:styleId="Default">
    <w:name w:val="Default"/>
    <w:rPr>
      <w:rFonts w:ascii="Calibri" w:hAnsi="Calibri"/>
      <w:snapToGrid w:val="0"/>
      <w:color w:val="000000"/>
      <w:sz w:val="24"/>
      <w:lang w:val="en-US" w:eastAsia="en-US"/>
    </w:rPr>
  </w:style>
  <w:style w:type="paragraph" w:styleId="BodyTextIndent">
    <w:name w:val="Body Text Indent"/>
    <w:basedOn w:val="Normal"/>
    <w:semiHidden/>
    <w:pPr>
      <w:ind w:left="5760" w:hanging="5760"/>
    </w:pPr>
    <w:rPr>
      <w:rFonts w:ascii="Arial" w:hAnsi="Arial"/>
      <w:sz w:val="22"/>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536616"/>
    <w:pPr>
      <w:ind w:left="720"/>
    </w:pPr>
  </w:style>
  <w:style w:type="paragraph" w:styleId="BalloonText">
    <w:name w:val="Balloon Text"/>
    <w:basedOn w:val="Normal"/>
    <w:link w:val="BalloonTextChar"/>
    <w:uiPriority w:val="99"/>
    <w:semiHidden/>
    <w:unhideWhenUsed/>
    <w:rsid w:val="00DE3703"/>
    <w:rPr>
      <w:rFonts w:ascii="Segoe UI" w:hAnsi="Segoe UI" w:cs="Segoe UI"/>
      <w:sz w:val="18"/>
      <w:szCs w:val="18"/>
    </w:rPr>
  </w:style>
  <w:style w:type="character" w:customStyle="1" w:styleId="BalloonTextChar">
    <w:name w:val="Balloon Text Char"/>
    <w:link w:val="BalloonText"/>
    <w:uiPriority w:val="99"/>
    <w:semiHidden/>
    <w:rsid w:val="00DE3703"/>
    <w:rPr>
      <w:rFonts w:ascii="Segoe UI" w:hAnsi="Segoe UI" w:cs="Segoe UI"/>
      <w:sz w:val="18"/>
      <w:szCs w:val="18"/>
      <w:lang w:val="en-US"/>
    </w:rPr>
  </w:style>
  <w:style w:type="paragraph" w:styleId="NormalWeb">
    <w:name w:val="Normal (Web)"/>
    <w:basedOn w:val="Normal"/>
    <w:uiPriority w:val="99"/>
    <w:semiHidden/>
    <w:unhideWhenUsed/>
    <w:rsid w:val="000D665F"/>
    <w:pPr>
      <w:spacing w:before="100" w:beforeAutospacing="1" w:after="100" w:afterAutospacing="1"/>
    </w:pPr>
    <w:rPr>
      <w:sz w:val="24"/>
      <w:szCs w:val="24"/>
      <w:lang w:val="en-AU"/>
    </w:rPr>
  </w:style>
  <w:style w:type="numbering" w:customStyle="1" w:styleId="WWNum1">
    <w:name w:val="WWNum1"/>
    <w:rsid w:val="00CC6882"/>
    <w:pPr>
      <w:numPr>
        <w:numId w:val="28"/>
      </w:numPr>
    </w:pPr>
  </w:style>
  <w:style w:type="numbering" w:customStyle="1" w:styleId="WWNum2">
    <w:name w:val="WWNum2"/>
    <w:rsid w:val="00CC6882"/>
    <w:pPr>
      <w:numPr>
        <w:numId w:val="31"/>
      </w:numPr>
    </w:pPr>
  </w:style>
  <w:style w:type="paragraph" w:customStyle="1" w:styleId="text-align-center">
    <w:name w:val="text-align-center"/>
    <w:basedOn w:val="Normal"/>
    <w:rsid w:val="00E00130"/>
    <w:pPr>
      <w:spacing w:before="100" w:beforeAutospacing="1" w:after="100" w:afterAutospacing="1"/>
    </w:pPr>
    <w:rPr>
      <w:sz w:val="24"/>
      <w:szCs w:val="24"/>
      <w:lang w:val="en-AU"/>
    </w:rPr>
  </w:style>
  <w:style w:type="character" w:styleId="Strong">
    <w:name w:val="Strong"/>
    <w:uiPriority w:val="22"/>
    <w:qFormat/>
    <w:rsid w:val="00E00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4663">
      <w:bodyDiv w:val="1"/>
      <w:marLeft w:val="0"/>
      <w:marRight w:val="0"/>
      <w:marTop w:val="0"/>
      <w:marBottom w:val="0"/>
      <w:divBdr>
        <w:top w:val="none" w:sz="0" w:space="0" w:color="auto"/>
        <w:left w:val="none" w:sz="0" w:space="0" w:color="auto"/>
        <w:bottom w:val="none" w:sz="0" w:space="0" w:color="auto"/>
        <w:right w:val="none" w:sz="0" w:space="0" w:color="auto"/>
      </w:divBdr>
      <w:divsChild>
        <w:div w:id="2034651619">
          <w:marLeft w:val="0"/>
          <w:marRight w:val="0"/>
          <w:marTop w:val="0"/>
          <w:marBottom w:val="0"/>
          <w:divBdr>
            <w:top w:val="none" w:sz="0" w:space="0" w:color="auto"/>
            <w:left w:val="none" w:sz="0" w:space="0" w:color="auto"/>
            <w:bottom w:val="none" w:sz="0" w:space="0" w:color="auto"/>
            <w:right w:val="none" w:sz="0" w:space="0" w:color="auto"/>
          </w:divBdr>
          <w:divsChild>
            <w:div w:id="562718583">
              <w:marLeft w:val="0"/>
              <w:marRight w:val="0"/>
              <w:marTop w:val="0"/>
              <w:marBottom w:val="0"/>
              <w:divBdr>
                <w:top w:val="none" w:sz="0" w:space="0" w:color="auto"/>
                <w:left w:val="none" w:sz="0" w:space="0" w:color="auto"/>
                <w:bottom w:val="none" w:sz="0" w:space="0" w:color="auto"/>
                <w:right w:val="none" w:sz="0" w:space="0" w:color="auto"/>
              </w:divBdr>
              <w:divsChild>
                <w:div w:id="113408756">
                  <w:marLeft w:val="0"/>
                  <w:marRight w:val="0"/>
                  <w:marTop w:val="0"/>
                  <w:marBottom w:val="0"/>
                  <w:divBdr>
                    <w:top w:val="none" w:sz="0" w:space="0" w:color="auto"/>
                    <w:left w:val="none" w:sz="0" w:space="0" w:color="auto"/>
                    <w:bottom w:val="none" w:sz="0" w:space="0" w:color="auto"/>
                    <w:right w:val="none" w:sz="0" w:space="0" w:color="auto"/>
                  </w:divBdr>
                  <w:divsChild>
                    <w:div w:id="444538819">
                      <w:marLeft w:val="150"/>
                      <w:marRight w:val="150"/>
                      <w:marTop w:val="0"/>
                      <w:marBottom w:val="0"/>
                      <w:divBdr>
                        <w:top w:val="none" w:sz="0" w:space="0" w:color="auto"/>
                        <w:left w:val="none" w:sz="0" w:space="0" w:color="auto"/>
                        <w:bottom w:val="none" w:sz="0" w:space="0" w:color="auto"/>
                        <w:right w:val="none" w:sz="0" w:space="0" w:color="auto"/>
                      </w:divBdr>
                      <w:divsChild>
                        <w:div w:id="58403807">
                          <w:marLeft w:val="0"/>
                          <w:marRight w:val="0"/>
                          <w:marTop w:val="0"/>
                          <w:marBottom w:val="0"/>
                          <w:divBdr>
                            <w:top w:val="none" w:sz="0" w:space="0" w:color="auto"/>
                            <w:left w:val="none" w:sz="0" w:space="0" w:color="auto"/>
                            <w:bottom w:val="none" w:sz="0" w:space="0" w:color="auto"/>
                            <w:right w:val="none" w:sz="0" w:space="0" w:color="auto"/>
                          </w:divBdr>
                          <w:divsChild>
                            <w:div w:id="523595854">
                              <w:marLeft w:val="0"/>
                              <w:marRight w:val="0"/>
                              <w:marTop w:val="0"/>
                              <w:marBottom w:val="0"/>
                              <w:divBdr>
                                <w:top w:val="none" w:sz="0" w:space="0" w:color="auto"/>
                                <w:left w:val="none" w:sz="0" w:space="0" w:color="auto"/>
                                <w:bottom w:val="none" w:sz="0" w:space="0" w:color="auto"/>
                                <w:right w:val="none" w:sz="0" w:space="0" w:color="auto"/>
                              </w:divBdr>
                              <w:divsChild>
                                <w:div w:id="15233553">
                                  <w:marLeft w:val="0"/>
                                  <w:marRight w:val="0"/>
                                  <w:marTop w:val="0"/>
                                  <w:marBottom w:val="0"/>
                                  <w:divBdr>
                                    <w:top w:val="none" w:sz="0" w:space="0" w:color="auto"/>
                                    <w:left w:val="none" w:sz="0" w:space="0" w:color="auto"/>
                                    <w:bottom w:val="none" w:sz="0" w:space="0" w:color="auto"/>
                                    <w:right w:val="none" w:sz="0" w:space="0" w:color="auto"/>
                                  </w:divBdr>
                                  <w:divsChild>
                                    <w:div w:id="1459451502">
                                      <w:marLeft w:val="0"/>
                                      <w:marRight w:val="0"/>
                                      <w:marTop w:val="0"/>
                                      <w:marBottom w:val="0"/>
                                      <w:divBdr>
                                        <w:top w:val="none" w:sz="0" w:space="0" w:color="auto"/>
                                        <w:left w:val="none" w:sz="0" w:space="0" w:color="auto"/>
                                        <w:bottom w:val="none" w:sz="0" w:space="0" w:color="auto"/>
                                        <w:right w:val="none" w:sz="0" w:space="0" w:color="auto"/>
                                      </w:divBdr>
                                      <w:divsChild>
                                        <w:div w:id="1821530798">
                                          <w:marLeft w:val="0"/>
                                          <w:marRight w:val="0"/>
                                          <w:marTop w:val="0"/>
                                          <w:marBottom w:val="0"/>
                                          <w:divBdr>
                                            <w:top w:val="none" w:sz="0" w:space="0" w:color="auto"/>
                                            <w:left w:val="none" w:sz="0" w:space="0" w:color="auto"/>
                                            <w:bottom w:val="none" w:sz="0" w:space="0" w:color="auto"/>
                                            <w:right w:val="none" w:sz="0" w:space="0" w:color="auto"/>
                                          </w:divBdr>
                                          <w:divsChild>
                                            <w:div w:id="1980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35172">
      <w:bodyDiv w:val="1"/>
      <w:marLeft w:val="0"/>
      <w:marRight w:val="0"/>
      <w:marTop w:val="0"/>
      <w:marBottom w:val="0"/>
      <w:divBdr>
        <w:top w:val="none" w:sz="0" w:space="0" w:color="auto"/>
        <w:left w:val="none" w:sz="0" w:space="0" w:color="auto"/>
        <w:bottom w:val="none" w:sz="0" w:space="0" w:color="auto"/>
        <w:right w:val="none" w:sz="0" w:space="0" w:color="auto"/>
      </w:divBdr>
    </w:div>
    <w:div w:id="224337039">
      <w:bodyDiv w:val="1"/>
      <w:marLeft w:val="0"/>
      <w:marRight w:val="0"/>
      <w:marTop w:val="0"/>
      <w:marBottom w:val="0"/>
      <w:divBdr>
        <w:top w:val="none" w:sz="0" w:space="0" w:color="auto"/>
        <w:left w:val="none" w:sz="0" w:space="0" w:color="auto"/>
        <w:bottom w:val="none" w:sz="0" w:space="0" w:color="auto"/>
        <w:right w:val="none" w:sz="0" w:space="0" w:color="auto"/>
      </w:divBdr>
    </w:div>
    <w:div w:id="384646573">
      <w:bodyDiv w:val="1"/>
      <w:marLeft w:val="0"/>
      <w:marRight w:val="0"/>
      <w:marTop w:val="0"/>
      <w:marBottom w:val="0"/>
      <w:divBdr>
        <w:top w:val="none" w:sz="0" w:space="0" w:color="auto"/>
        <w:left w:val="none" w:sz="0" w:space="0" w:color="auto"/>
        <w:bottom w:val="none" w:sz="0" w:space="0" w:color="auto"/>
        <w:right w:val="none" w:sz="0" w:space="0" w:color="auto"/>
      </w:divBdr>
    </w:div>
    <w:div w:id="436099218">
      <w:bodyDiv w:val="1"/>
      <w:marLeft w:val="0"/>
      <w:marRight w:val="0"/>
      <w:marTop w:val="0"/>
      <w:marBottom w:val="0"/>
      <w:divBdr>
        <w:top w:val="none" w:sz="0" w:space="0" w:color="auto"/>
        <w:left w:val="none" w:sz="0" w:space="0" w:color="auto"/>
        <w:bottom w:val="none" w:sz="0" w:space="0" w:color="auto"/>
        <w:right w:val="none" w:sz="0" w:space="0" w:color="auto"/>
      </w:divBdr>
    </w:div>
    <w:div w:id="494305252">
      <w:bodyDiv w:val="1"/>
      <w:marLeft w:val="0"/>
      <w:marRight w:val="0"/>
      <w:marTop w:val="0"/>
      <w:marBottom w:val="0"/>
      <w:divBdr>
        <w:top w:val="none" w:sz="0" w:space="0" w:color="auto"/>
        <w:left w:val="none" w:sz="0" w:space="0" w:color="auto"/>
        <w:bottom w:val="none" w:sz="0" w:space="0" w:color="auto"/>
        <w:right w:val="none" w:sz="0" w:space="0" w:color="auto"/>
      </w:divBdr>
    </w:div>
    <w:div w:id="501510275">
      <w:bodyDiv w:val="1"/>
      <w:marLeft w:val="0"/>
      <w:marRight w:val="0"/>
      <w:marTop w:val="0"/>
      <w:marBottom w:val="0"/>
      <w:divBdr>
        <w:top w:val="none" w:sz="0" w:space="0" w:color="auto"/>
        <w:left w:val="none" w:sz="0" w:space="0" w:color="auto"/>
        <w:bottom w:val="none" w:sz="0" w:space="0" w:color="auto"/>
        <w:right w:val="none" w:sz="0" w:space="0" w:color="auto"/>
      </w:divBdr>
    </w:div>
    <w:div w:id="541097234">
      <w:bodyDiv w:val="1"/>
      <w:marLeft w:val="0"/>
      <w:marRight w:val="0"/>
      <w:marTop w:val="0"/>
      <w:marBottom w:val="0"/>
      <w:divBdr>
        <w:top w:val="none" w:sz="0" w:space="0" w:color="auto"/>
        <w:left w:val="none" w:sz="0" w:space="0" w:color="auto"/>
        <w:bottom w:val="none" w:sz="0" w:space="0" w:color="auto"/>
        <w:right w:val="none" w:sz="0" w:space="0" w:color="auto"/>
      </w:divBdr>
    </w:div>
    <w:div w:id="631442372">
      <w:bodyDiv w:val="1"/>
      <w:marLeft w:val="0"/>
      <w:marRight w:val="0"/>
      <w:marTop w:val="0"/>
      <w:marBottom w:val="0"/>
      <w:divBdr>
        <w:top w:val="none" w:sz="0" w:space="0" w:color="auto"/>
        <w:left w:val="none" w:sz="0" w:space="0" w:color="auto"/>
        <w:bottom w:val="none" w:sz="0" w:space="0" w:color="auto"/>
        <w:right w:val="none" w:sz="0" w:space="0" w:color="auto"/>
      </w:divBdr>
    </w:div>
    <w:div w:id="67577206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63">
          <w:marLeft w:val="0"/>
          <w:marRight w:val="0"/>
          <w:marTop w:val="0"/>
          <w:marBottom w:val="0"/>
          <w:divBdr>
            <w:top w:val="none" w:sz="0" w:space="0" w:color="auto"/>
            <w:left w:val="none" w:sz="0" w:space="0" w:color="auto"/>
            <w:bottom w:val="none" w:sz="0" w:space="0" w:color="auto"/>
            <w:right w:val="none" w:sz="0" w:space="0" w:color="auto"/>
          </w:divBdr>
          <w:divsChild>
            <w:div w:id="753743354">
              <w:marLeft w:val="0"/>
              <w:marRight w:val="0"/>
              <w:marTop w:val="0"/>
              <w:marBottom w:val="0"/>
              <w:divBdr>
                <w:top w:val="none" w:sz="0" w:space="0" w:color="auto"/>
                <w:left w:val="none" w:sz="0" w:space="0" w:color="auto"/>
                <w:bottom w:val="none" w:sz="0" w:space="0" w:color="auto"/>
                <w:right w:val="none" w:sz="0" w:space="0" w:color="auto"/>
              </w:divBdr>
              <w:divsChild>
                <w:div w:id="2001809943">
                  <w:marLeft w:val="0"/>
                  <w:marRight w:val="0"/>
                  <w:marTop w:val="0"/>
                  <w:marBottom w:val="0"/>
                  <w:divBdr>
                    <w:top w:val="none" w:sz="0" w:space="0" w:color="auto"/>
                    <w:left w:val="none" w:sz="0" w:space="0" w:color="auto"/>
                    <w:bottom w:val="none" w:sz="0" w:space="0" w:color="auto"/>
                    <w:right w:val="none" w:sz="0" w:space="0" w:color="auto"/>
                  </w:divBdr>
                  <w:divsChild>
                    <w:div w:id="153420303">
                      <w:marLeft w:val="0"/>
                      <w:marRight w:val="0"/>
                      <w:marTop w:val="0"/>
                      <w:marBottom w:val="0"/>
                      <w:divBdr>
                        <w:top w:val="none" w:sz="0" w:space="0" w:color="auto"/>
                        <w:left w:val="none" w:sz="0" w:space="0" w:color="auto"/>
                        <w:bottom w:val="none" w:sz="0" w:space="0" w:color="auto"/>
                        <w:right w:val="none" w:sz="0" w:space="0" w:color="auto"/>
                      </w:divBdr>
                      <w:divsChild>
                        <w:div w:id="864636283">
                          <w:marLeft w:val="0"/>
                          <w:marRight w:val="0"/>
                          <w:marTop w:val="0"/>
                          <w:marBottom w:val="0"/>
                          <w:divBdr>
                            <w:top w:val="none" w:sz="0" w:space="0" w:color="auto"/>
                            <w:left w:val="none" w:sz="0" w:space="0" w:color="auto"/>
                            <w:bottom w:val="none" w:sz="0" w:space="0" w:color="auto"/>
                            <w:right w:val="none" w:sz="0" w:space="0" w:color="auto"/>
                          </w:divBdr>
                          <w:divsChild>
                            <w:div w:id="1759785025">
                              <w:marLeft w:val="0"/>
                              <w:marRight w:val="0"/>
                              <w:marTop w:val="0"/>
                              <w:marBottom w:val="0"/>
                              <w:divBdr>
                                <w:top w:val="none" w:sz="0" w:space="0" w:color="auto"/>
                                <w:left w:val="none" w:sz="0" w:space="0" w:color="auto"/>
                                <w:bottom w:val="none" w:sz="0" w:space="0" w:color="auto"/>
                                <w:right w:val="none" w:sz="0" w:space="0" w:color="auto"/>
                              </w:divBdr>
                              <w:divsChild>
                                <w:div w:id="422726047">
                                  <w:marLeft w:val="0"/>
                                  <w:marRight w:val="0"/>
                                  <w:marTop w:val="0"/>
                                  <w:marBottom w:val="0"/>
                                  <w:divBdr>
                                    <w:top w:val="none" w:sz="0" w:space="0" w:color="auto"/>
                                    <w:left w:val="none" w:sz="0" w:space="0" w:color="auto"/>
                                    <w:bottom w:val="none" w:sz="0" w:space="0" w:color="auto"/>
                                    <w:right w:val="none" w:sz="0" w:space="0" w:color="auto"/>
                                  </w:divBdr>
                                  <w:divsChild>
                                    <w:div w:id="350373440">
                                      <w:marLeft w:val="0"/>
                                      <w:marRight w:val="0"/>
                                      <w:marTop w:val="0"/>
                                      <w:marBottom w:val="0"/>
                                      <w:divBdr>
                                        <w:top w:val="none" w:sz="0" w:space="0" w:color="auto"/>
                                        <w:left w:val="none" w:sz="0" w:space="0" w:color="auto"/>
                                        <w:bottom w:val="none" w:sz="0" w:space="0" w:color="auto"/>
                                        <w:right w:val="none" w:sz="0" w:space="0" w:color="auto"/>
                                      </w:divBdr>
                                      <w:divsChild>
                                        <w:div w:id="2088261792">
                                          <w:marLeft w:val="0"/>
                                          <w:marRight w:val="0"/>
                                          <w:marTop w:val="0"/>
                                          <w:marBottom w:val="0"/>
                                          <w:divBdr>
                                            <w:top w:val="none" w:sz="0" w:space="0" w:color="auto"/>
                                            <w:left w:val="none" w:sz="0" w:space="0" w:color="auto"/>
                                            <w:bottom w:val="none" w:sz="0" w:space="0" w:color="auto"/>
                                            <w:right w:val="none" w:sz="0" w:space="0" w:color="auto"/>
                                          </w:divBdr>
                                          <w:divsChild>
                                            <w:div w:id="1010334175">
                                              <w:marLeft w:val="0"/>
                                              <w:marRight w:val="0"/>
                                              <w:marTop w:val="0"/>
                                              <w:marBottom w:val="0"/>
                                              <w:divBdr>
                                                <w:top w:val="none" w:sz="0" w:space="0" w:color="auto"/>
                                                <w:left w:val="none" w:sz="0" w:space="0" w:color="auto"/>
                                                <w:bottom w:val="none" w:sz="0" w:space="0" w:color="auto"/>
                                                <w:right w:val="none" w:sz="0" w:space="0" w:color="auto"/>
                                              </w:divBdr>
                                              <w:divsChild>
                                                <w:div w:id="432747005">
                                                  <w:marLeft w:val="0"/>
                                                  <w:marRight w:val="0"/>
                                                  <w:marTop w:val="0"/>
                                                  <w:marBottom w:val="0"/>
                                                  <w:divBdr>
                                                    <w:top w:val="none" w:sz="0" w:space="0" w:color="auto"/>
                                                    <w:left w:val="none" w:sz="0" w:space="0" w:color="auto"/>
                                                    <w:bottom w:val="none" w:sz="0" w:space="0" w:color="auto"/>
                                                    <w:right w:val="none" w:sz="0" w:space="0" w:color="auto"/>
                                                  </w:divBdr>
                                                  <w:divsChild>
                                                    <w:div w:id="1705017223">
                                                      <w:marLeft w:val="0"/>
                                                      <w:marRight w:val="0"/>
                                                      <w:marTop w:val="0"/>
                                                      <w:marBottom w:val="0"/>
                                                      <w:divBdr>
                                                        <w:top w:val="none" w:sz="0" w:space="0" w:color="auto"/>
                                                        <w:left w:val="none" w:sz="0" w:space="0" w:color="auto"/>
                                                        <w:bottom w:val="none" w:sz="0" w:space="0" w:color="auto"/>
                                                        <w:right w:val="none" w:sz="0" w:space="0" w:color="auto"/>
                                                      </w:divBdr>
                                                      <w:divsChild>
                                                        <w:div w:id="6804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318656">
      <w:bodyDiv w:val="1"/>
      <w:marLeft w:val="0"/>
      <w:marRight w:val="0"/>
      <w:marTop w:val="0"/>
      <w:marBottom w:val="0"/>
      <w:divBdr>
        <w:top w:val="none" w:sz="0" w:space="0" w:color="auto"/>
        <w:left w:val="none" w:sz="0" w:space="0" w:color="auto"/>
        <w:bottom w:val="none" w:sz="0" w:space="0" w:color="auto"/>
        <w:right w:val="none" w:sz="0" w:space="0" w:color="auto"/>
      </w:divBdr>
    </w:div>
    <w:div w:id="1683359419">
      <w:bodyDiv w:val="1"/>
      <w:marLeft w:val="0"/>
      <w:marRight w:val="0"/>
      <w:marTop w:val="0"/>
      <w:marBottom w:val="0"/>
      <w:divBdr>
        <w:top w:val="none" w:sz="0" w:space="0" w:color="auto"/>
        <w:left w:val="none" w:sz="0" w:space="0" w:color="auto"/>
        <w:bottom w:val="none" w:sz="0" w:space="0" w:color="auto"/>
        <w:right w:val="none" w:sz="0" w:space="0" w:color="auto"/>
      </w:divBdr>
    </w:div>
    <w:div w:id="18116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n.org.au/take-action/" TargetMode="External"/><Relationship Id="rId13" Type="http://schemas.openxmlformats.org/officeDocument/2006/relationships/hyperlink" Target="http://www.quaker.org.uk" TargetMode="External"/><Relationship Id="rId18" Type="http://schemas.openxmlformats.org/officeDocument/2006/relationships/hyperlink" Target="https://www.ohchr.org/en/hrbodies/hrc/home"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au.yougov.com/results/apc" TargetMode="External"/><Relationship Id="rId12" Type="http://schemas.openxmlformats.org/officeDocument/2006/relationships/hyperlink" Target="http://www.afsc.org" TargetMode="External"/><Relationship Id="rId17" Type="http://schemas.openxmlformats.org/officeDocument/2006/relationships/hyperlink" Target="https://www.ohchr.org/en/hr-bodies/hrc/regular-sessions/session50/regular-session" TargetMode="External"/><Relationship Id="rId2" Type="http://schemas.openxmlformats.org/officeDocument/2006/relationships/styles" Target="styles.xml"/><Relationship Id="rId16" Type="http://schemas.openxmlformats.org/officeDocument/2006/relationships/hyperlink" Target="https://www.ohchr.org/en/hr-bodies/hrc/co-israel/inde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fmq.org" TargetMode="External"/><Relationship Id="rId5" Type="http://schemas.openxmlformats.org/officeDocument/2006/relationships/footnotes" Target="footnotes.xml"/><Relationship Id="rId15" Type="http://schemas.openxmlformats.org/officeDocument/2006/relationships/hyperlink" Target="https://undocs.org/A/HRC/50/21" TargetMode="External"/><Relationship Id="rId23" Type="http://schemas.openxmlformats.org/officeDocument/2006/relationships/theme" Target="theme/theme1.xml"/><Relationship Id="rId10" Type="http://schemas.openxmlformats.org/officeDocument/2006/relationships/hyperlink" Target="https://www.ohchr.org/en/hr-bodies/hrc/co-israel/index" TargetMode="External"/><Relationship Id="rId19" Type="http://schemas.openxmlformats.org/officeDocument/2006/relationships/hyperlink" Target="https://undocs.org/Home/Mobile?FinalSymbol=A%2FHRC%2FRES%2FS-30%2F1&amp;Language=E&amp;DeviceType=Desktop&amp;LangRequested=False" TargetMode="External"/><Relationship Id="rId4" Type="http://schemas.openxmlformats.org/officeDocument/2006/relationships/webSettings" Target="webSettings.xml"/><Relationship Id="rId9" Type="http://schemas.openxmlformats.org/officeDocument/2006/relationships/hyperlink" Target="https://undocs.org/A/HRC/50/21" TargetMode="External"/><Relationship Id="rId14" Type="http://schemas.openxmlformats.org/officeDocument/2006/relationships/hyperlink" Target="http://www.apan.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16137</CharactersWithSpaces>
  <SharedDoc>false</SharedDoc>
  <HLinks>
    <vt:vector size="78" baseType="variant">
      <vt:variant>
        <vt:i4>655370</vt:i4>
      </vt:variant>
      <vt:variant>
        <vt:i4>36</vt:i4>
      </vt:variant>
      <vt:variant>
        <vt:i4>0</vt:i4>
      </vt:variant>
      <vt:variant>
        <vt:i4>5</vt:i4>
      </vt:variant>
      <vt:variant>
        <vt:lpwstr>https://undocs.org/Home/Mobile?FinalSymbol=A%2FHRC%2FRES%2FS-30%2F1&amp;Language=E&amp;DeviceType=Desktop&amp;LangRequested=False</vt:lpwstr>
      </vt:variant>
      <vt:variant>
        <vt:lpwstr/>
      </vt:variant>
      <vt:variant>
        <vt:i4>2490485</vt:i4>
      </vt:variant>
      <vt:variant>
        <vt:i4>33</vt:i4>
      </vt:variant>
      <vt:variant>
        <vt:i4>0</vt:i4>
      </vt:variant>
      <vt:variant>
        <vt:i4>5</vt:i4>
      </vt:variant>
      <vt:variant>
        <vt:lpwstr>https://www.ohchr.org/en/hrbodies/hrc/home</vt:lpwstr>
      </vt:variant>
      <vt:variant>
        <vt:lpwstr/>
      </vt:variant>
      <vt:variant>
        <vt:i4>720924</vt:i4>
      </vt:variant>
      <vt:variant>
        <vt:i4>30</vt:i4>
      </vt:variant>
      <vt:variant>
        <vt:i4>0</vt:i4>
      </vt:variant>
      <vt:variant>
        <vt:i4>5</vt:i4>
      </vt:variant>
      <vt:variant>
        <vt:lpwstr>https://www.ohchr.org/en/hr-bodies/hrc/regular-sessions/session50/regular-session</vt:lpwstr>
      </vt:variant>
      <vt:variant>
        <vt:lpwstr/>
      </vt:variant>
      <vt:variant>
        <vt:i4>2818090</vt:i4>
      </vt:variant>
      <vt:variant>
        <vt:i4>27</vt:i4>
      </vt:variant>
      <vt:variant>
        <vt:i4>0</vt:i4>
      </vt:variant>
      <vt:variant>
        <vt:i4>5</vt:i4>
      </vt:variant>
      <vt:variant>
        <vt:lpwstr>https://www.ohchr.org/en/hr-bodies/hrc/co-israel/index</vt:lpwstr>
      </vt:variant>
      <vt:variant>
        <vt:lpwstr/>
      </vt:variant>
      <vt:variant>
        <vt:i4>2752561</vt:i4>
      </vt:variant>
      <vt:variant>
        <vt:i4>24</vt:i4>
      </vt:variant>
      <vt:variant>
        <vt:i4>0</vt:i4>
      </vt:variant>
      <vt:variant>
        <vt:i4>5</vt:i4>
      </vt:variant>
      <vt:variant>
        <vt:lpwstr>https://undocs.org/A/HRC/50/21</vt:lpwstr>
      </vt:variant>
      <vt:variant>
        <vt:lpwstr/>
      </vt:variant>
      <vt:variant>
        <vt:i4>2883623</vt:i4>
      </vt:variant>
      <vt:variant>
        <vt:i4>21</vt:i4>
      </vt:variant>
      <vt:variant>
        <vt:i4>0</vt:i4>
      </vt:variant>
      <vt:variant>
        <vt:i4>5</vt:i4>
      </vt:variant>
      <vt:variant>
        <vt:lpwstr>http://www.apan.org.au/</vt:lpwstr>
      </vt:variant>
      <vt:variant>
        <vt:lpwstr/>
      </vt:variant>
      <vt:variant>
        <vt:i4>4653121</vt:i4>
      </vt:variant>
      <vt:variant>
        <vt:i4>18</vt:i4>
      </vt:variant>
      <vt:variant>
        <vt:i4>0</vt:i4>
      </vt:variant>
      <vt:variant>
        <vt:i4>5</vt:i4>
      </vt:variant>
      <vt:variant>
        <vt:lpwstr>http://www.quaker.org.uk/</vt:lpwstr>
      </vt:variant>
      <vt:variant>
        <vt:lpwstr/>
      </vt:variant>
      <vt:variant>
        <vt:i4>4849757</vt:i4>
      </vt:variant>
      <vt:variant>
        <vt:i4>15</vt:i4>
      </vt:variant>
      <vt:variant>
        <vt:i4>0</vt:i4>
      </vt:variant>
      <vt:variant>
        <vt:i4>5</vt:i4>
      </vt:variant>
      <vt:variant>
        <vt:lpwstr>http://www.afsc.org/</vt:lpwstr>
      </vt:variant>
      <vt:variant>
        <vt:lpwstr/>
      </vt:variant>
      <vt:variant>
        <vt:i4>4653135</vt:i4>
      </vt:variant>
      <vt:variant>
        <vt:i4>12</vt:i4>
      </vt:variant>
      <vt:variant>
        <vt:i4>0</vt:i4>
      </vt:variant>
      <vt:variant>
        <vt:i4>5</vt:i4>
      </vt:variant>
      <vt:variant>
        <vt:lpwstr>http://www.rfmq.org/</vt:lpwstr>
      </vt:variant>
      <vt:variant>
        <vt:lpwstr/>
      </vt:variant>
      <vt:variant>
        <vt:i4>2818090</vt:i4>
      </vt:variant>
      <vt:variant>
        <vt:i4>9</vt:i4>
      </vt:variant>
      <vt:variant>
        <vt:i4>0</vt:i4>
      </vt:variant>
      <vt:variant>
        <vt:i4>5</vt:i4>
      </vt:variant>
      <vt:variant>
        <vt:lpwstr>https://www.ohchr.org/en/hr-bodies/hrc/co-israel/index</vt:lpwstr>
      </vt:variant>
      <vt:variant>
        <vt:lpwstr/>
      </vt:variant>
      <vt:variant>
        <vt:i4>2752561</vt:i4>
      </vt:variant>
      <vt:variant>
        <vt:i4>6</vt:i4>
      </vt:variant>
      <vt:variant>
        <vt:i4>0</vt:i4>
      </vt:variant>
      <vt:variant>
        <vt:i4>5</vt:i4>
      </vt:variant>
      <vt:variant>
        <vt:lpwstr>https://undocs.org/A/HRC/50/21</vt:lpwstr>
      </vt:variant>
      <vt:variant>
        <vt:lpwstr/>
      </vt:variant>
      <vt:variant>
        <vt:i4>7995510</vt:i4>
      </vt:variant>
      <vt:variant>
        <vt:i4>3</vt:i4>
      </vt:variant>
      <vt:variant>
        <vt:i4>0</vt:i4>
      </vt:variant>
      <vt:variant>
        <vt:i4>5</vt:i4>
      </vt:variant>
      <vt:variant>
        <vt:lpwstr>http://www.apan.org.au/take-action/</vt:lpwstr>
      </vt:variant>
      <vt:variant>
        <vt:lpwstr/>
      </vt:variant>
      <vt:variant>
        <vt:i4>5373952</vt:i4>
      </vt:variant>
      <vt:variant>
        <vt:i4>0</vt:i4>
      </vt:variant>
      <vt:variant>
        <vt:i4>0</vt:i4>
      </vt:variant>
      <vt:variant>
        <vt:i4>5</vt:i4>
      </vt:variant>
      <vt:variant>
        <vt:lpwstr>https://au.yougov.com/results/apc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Purnell</dc:creator>
  <cp:keywords/>
  <cp:lastModifiedBy>Chris Purnell</cp:lastModifiedBy>
  <cp:revision>2</cp:revision>
  <cp:lastPrinted>2019-06-24T03:40:00Z</cp:lastPrinted>
  <dcterms:created xsi:type="dcterms:W3CDTF">2022-06-16T15:56:00Z</dcterms:created>
  <dcterms:modified xsi:type="dcterms:W3CDTF">2022-06-16T15:56:00Z</dcterms:modified>
</cp:coreProperties>
</file>