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83AF" w14:textId="77777777" w:rsidR="00786881" w:rsidRPr="002516AD" w:rsidRDefault="00786881" w:rsidP="002516AD">
      <w:pPr>
        <w:jc w:val="center"/>
        <w:rPr>
          <w:b/>
          <w:bCs/>
        </w:rPr>
      </w:pPr>
      <w:r w:rsidRPr="002516AD">
        <w:rPr>
          <w:b/>
          <w:bCs/>
        </w:rPr>
        <w:t>Handbook Revision Committee</w:t>
      </w:r>
    </w:p>
    <w:p w14:paraId="56DABFD7" w14:textId="77777777" w:rsidR="00786881" w:rsidRPr="002516AD" w:rsidRDefault="00786881" w:rsidP="002516AD">
      <w:pPr>
        <w:jc w:val="center"/>
        <w:rPr>
          <w:b/>
          <w:bCs/>
        </w:rPr>
      </w:pPr>
      <w:r w:rsidRPr="002516AD">
        <w:rPr>
          <w:b/>
          <w:bCs/>
        </w:rPr>
        <w:t>Preparatory Session</w:t>
      </w:r>
    </w:p>
    <w:p w14:paraId="20FE9132" w14:textId="77777777" w:rsidR="00786881" w:rsidRPr="002516AD" w:rsidRDefault="00786881" w:rsidP="002516AD">
      <w:pPr>
        <w:jc w:val="center"/>
        <w:rPr>
          <w:b/>
          <w:bCs/>
        </w:rPr>
      </w:pPr>
      <w:r w:rsidRPr="002516AD">
        <w:rPr>
          <w:b/>
          <w:bCs/>
        </w:rPr>
        <w:t xml:space="preserve">14 May 2022 </w:t>
      </w:r>
      <w:r w:rsidR="00B97F64">
        <w:rPr>
          <w:b/>
          <w:bCs/>
        </w:rPr>
        <w:t xml:space="preserve"> </w:t>
      </w:r>
      <w:r w:rsidRPr="002516AD">
        <w:rPr>
          <w:b/>
          <w:bCs/>
        </w:rPr>
        <w:t>3.30 pm AEST</w:t>
      </w:r>
    </w:p>
    <w:p w14:paraId="6114E8D4" w14:textId="77777777" w:rsidR="00786881" w:rsidRDefault="00786881"/>
    <w:p w14:paraId="7A34F9A9" w14:textId="77777777" w:rsidR="00786881" w:rsidRPr="00F60808" w:rsidRDefault="00786881" w:rsidP="00B71ED1">
      <w:pPr>
        <w:rPr>
          <w:color w:val="000000" w:themeColor="text1"/>
        </w:rPr>
      </w:pPr>
      <w:r w:rsidRPr="00F60808">
        <w:rPr>
          <w:color w:val="000000" w:themeColor="text1"/>
        </w:rPr>
        <w:t xml:space="preserve">Committee members:  Wies Schuiringa, Julie Walpole, Michael Corbett (ex Kay de Vogel) </w:t>
      </w:r>
    </w:p>
    <w:p w14:paraId="5D5AB0C5" w14:textId="4F4D6B02" w:rsidR="00786881" w:rsidRPr="00F60808" w:rsidRDefault="00786881" w:rsidP="00B71ED1">
      <w:pPr>
        <w:rPr>
          <w:color w:val="000000" w:themeColor="text1"/>
        </w:rPr>
      </w:pPr>
      <w:r w:rsidRPr="00F60808">
        <w:rPr>
          <w:color w:val="000000" w:themeColor="text1"/>
        </w:rPr>
        <w:t>Clerk: Vidya</w:t>
      </w:r>
      <w:r w:rsidRPr="00F60808">
        <w:rPr>
          <w:color w:val="000000" w:themeColor="text1"/>
        </w:rPr>
        <w:tab/>
        <w:t>Recording Clerk: Jennifer Burrell</w:t>
      </w:r>
      <w:r w:rsidR="002D5596">
        <w:rPr>
          <w:color w:val="000000" w:themeColor="text1"/>
        </w:rPr>
        <w:t xml:space="preserve"> </w:t>
      </w:r>
      <w:r w:rsidR="002D5596">
        <w:rPr>
          <w:color w:val="000000" w:themeColor="text1"/>
        </w:rPr>
        <w:tab/>
        <w:t xml:space="preserve">Zoom Host: Michael Searle </w:t>
      </w:r>
    </w:p>
    <w:p w14:paraId="7B3C5073" w14:textId="77777777" w:rsidR="00DB3D88" w:rsidRPr="00F60808" w:rsidRDefault="00786881" w:rsidP="00B71ED1">
      <w:pPr>
        <w:rPr>
          <w:color w:val="000000" w:themeColor="text1"/>
        </w:rPr>
      </w:pPr>
      <w:r w:rsidRPr="00F60808">
        <w:rPr>
          <w:color w:val="000000" w:themeColor="text1"/>
        </w:rPr>
        <w:t>Present:</w:t>
      </w:r>
      <w:r w:rsidR="0002323F">
        <w:rPr>
          <w:color w:val="000000" w:themeColor="text1"/>
        </w:rPr>
        <w:t xml:space="preserve"> </w:t>
      </w:r>
      <w:r w:rsidR="00B358C0" w:rsidRPr="00F60808">
        <w:rPr>
          <w:color w:val="000000" w:themeColor="text1"/>
        </w:rPr>
        <w:t xml:space="preserve">Wies Schuiringa, Julie Walpole, Michael Corbett, Vidya, Jennifer Burrell, </w:t>
      </w:r>
      <w:r w:rsidR="002516AD" w:rsidRPr="00F60808">
        <w:rPr>
          <w:color w:val="000000" w:themeColor="text1"/>
        </w:rPr>
        <w:t xml:space="preserve">Roger Sawkins, Ronis Chapman, </w:t>
      </w:r>
      <w:r w:rsidR="00F60808" w:rsidRPr="00F60808">
        <w:rPr>
          <w:color w:val="000000" w:themeColor="text1"/>
        </w:rPr>
        <w:t xml:space="preserve">Kerstin Reimers, Kay de Vogel, Jim Palmer, </w:t>
      </w:r>
      <w:r w:rsidR="00F60808">
        <w:rPr>
          <w:color w:val="000000" w:themeColor="text1"/>
        </w:rPr>
        <w:t>Margaret Clark, Vivienne Dawes, Alan</w:t>
      </w:r>
      <w:r w:rsidR="000B655A">
        <w:rPr>
          <w:color w:val="000000" w:themeColor="text1"/>
        </w:rPr>
        <w:t xml:space="preserve"> </w:t>
      </w:r>
      <w:r w:rsidR="00F60808">
        <w:rPr>
          <w:color w:val="000000" w:themeColor="text1"/>
        </w:rPr>
        <w:t xml:space="preserve">Clayton, </w:t>
      </w:r>
      <w:r w:rsidR="00766510">
        <w:rPr>
          <w:color w:val="000000" w:themeColor="text1"/>
        </w:rPr>
        <w:t>Sieneke Martin, Justine Shelton</w:t>
      </w:r>
      <w:r w:rsidR="00C061FB">
        <w:rPr>
          <w:color w:val="000000" w:themeColor="text1"/>
        </w:rPr>
        <w:t>, Topsy Evans</w:t>
      </w:r>
      <w:r w:rsidR="0031385E">
        <w:rPr>
          <w:color w:val="000000" w:themeColor="text1"/>
        </w:rPr>
        <w:t>, Jude Pembleton</w:t>
      </w:r>
      <w:r w:rsidR="000D797F">
        <w:rPr>
          <w:color w:val="000000" w:themeColor="text1"/>
        </w:rPr>
        <w:t xml:space="preserve"> and Michael Searle</w:t>
      </w:r>
      <w:r w:rsidR="0063134B">
        <w:rPr>
          <w:color w:val="000000" w:themeColor="text1"/>
        </w:rPr>
        <w:t>.</w:t>
      </w:r>
    </w:p>
    <w:p w14:paraId="53E758A4" w14:textId="77777777" w:rsidR="00B358C0" w:rsidRPr="009A5F7D" w:rsidRDefault="00B358C0" w:rsidP="00B71ED1">
      <w:pPr>
        <w:rPr>
          <w:color w:val="000000" w:themeColor="text1"/>
          <w:sz w:val="10"/>
          <w:szCs w:val="10"/>
        </w:rPr>
      </w:pPr>
    </w:p>
    <w:p w14:paraId="6D4077FF" w14:textId="77777777" w:rsidR="00B358C0" w:rsidRPr="00F60808" w:rsidRDefault="002516AD" w:rsidP="00B71ED1">
      <w:pPr>
        <w:rPr>
          <w:color w:val="000000" w:themeColor="text1"/>
        </w:rPr>
      </w:pPr>
      <w:r w:rsidRPr="00F60808">
        <w:rPr>
          <w:color w:val="000000" w:themeColor="text1"/>
        </w:rPr>
        <w:t>The meeting opened at</w:t>
      </w:r>
      <w:r w:rsidR="00F60808" w:rsidRPr="00F60808">
        <w:rPr>
          <w:color w:val="000000" w:themeColor="text1"/>
        </w:rPr>
        <w:t xml:space="preserve"> 3.30</w:t>
      </w:r>
      <w:r w:rsidR="000D797F">
        <w:rPr>
          <w:color w:val="000000" w:themeColor="text1"/>
        </w:rPr>
        <w:t xml:space="preserve"> pm</w:t>
      </w:r>
      <w:r w:rsidR="00F60808" w:rsidRPr="00F60808">
        <w:rPr>
          <w:color w:val="000000" w:themeColor="text1"/>
        </w:rPr>
        <w:t>, after a deep silence.</w:t>
      </w:r>
    </w:p>
    <w:p w14:paraId="5D486B78" w14:textId="77777777" w:rsidR="002516AD" w:rsidRPr="009576F5" w:rsidRDefault="002516AD" w:rsidP="00B71ED1">
      <w:pPr>
        <w:rPr>
          <w:color w:val="000000" w:themeColor="text1"/>
          <w:sz w:val="10"/>
          <w:szCs w:val="10"/>
        </w:rPr>
      </w:pPr>
    </w:p>
    <w:p w14:paraId="3E4FC1EC" w14:textId="77777777" w:rsidR="002516AD" w:rsidRDefault="00F60808" w:rsidP="00B71ED1">
      <w:pPr>
        <w:rPr>
          <w:color w:val="000000" w:themeColor="text1"/>
        </w:rPr>
      </w:pPr>
      <w:r w:rsidRPr="00F60808">
        <w:rPr>
          <w:color w:val="000000" w:themeColor="text1"/>
        </w:rPr>
        <w:t>Vidya read</w:t>
      </w:r>
      <w:r w:rsidR="002516AD" w:rsidRPr="00F60808">
        <w:rPr>
          <w:color w:val="000000" w:themeColor="text1"/>
        </w:rPr>
        <w:t xml:space="preserve"> a moving acknowledgement of Country</w:t>
      </w:r>
      <w:r w:rsidRPr="00F60808">
        <w:rPr>
          <w:color w:val="000000" w:themeColor="text1"/>
        </w:rPr>
        <w:t>, also screen-shared.</w:t>
      </w:r>
    </w:p>
    <w:p w14:paraId="14CF40B8" w14:textId="77777777" w:rsidR="000B655A" w:rsidRPr="002C2175" w:rsidRDefault="000B655A" w:rsidP="00B71ED1">
      <w:pPr>
        <w:ind w:left="72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>Quakers in Australia acknowledge that we live and worship on the lands of</w:t>
      </w:r>
    </w:p>
    <w:p w14:paraId="6DF29F58" w14:textId="77777777" w:rsidR="000B655A" w:rsidRPr="002C2175" w:rsidRDefault="000B655A" w:rsidP="00B71ED1">
      <w:pPr>
        <w:ind w:left="72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>Aboriginal and Torres Strait Islander peoples, country which gives them physical</w:t>
      </w:r>
    </w:p>
    <w:p w14:paraId="0FD7DE45" w14:textId="77777777" w:rsidR="000B655A" w:rsidRPr="002C2175" w:rsidRDefault="000B655A" w:rsidP="00B71ED1">
      <w:pPr>
        <w:ind w:left="72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 xml:space="preserve">and spiritual identity and is filled with the spirit presence of their ancestors. </w:t>
      </w:r>
    </w:p>
    <w:p w14:paraId="6776B4BC" w14:textId="77777777" w:rsidR="000B655A" w:rsidRPr="002C2175" w:rsidRDefault="000B655A" w:rsidP="00B71ED1">
      <w:pPr>
        <w:spacing w:before="120"/>
        <w:ind w:left="72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 xml:space="preserve">We acknowledge: </w:t>
      </w:r>
    </w:p>
    <w:p w14:paraId="50008EED" w14:textId="77777777" w:rsidR="000B655A" w:rsidRPr="002C2175" w:rsidRDefault="000B655A" w:rsidP="00B71ED1">
      <w:pPr>
        <w:ind w:left="144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 xml:space="preserve">• the sovereignty of Australia’s First Peoples over the land we inhabit </w:t>
      </w:r>
    </w:p>
    <w:p w14:paraId="4077F2E3" w14:textId="77777777" w:rsidR="000B655A" w:rsidRPr="002C2175" w:rsidRDefault="000B655A" w:rsidP="00B71ED1">
      <w:pPr>
        <w:ind w:left="144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 xml:space="preserve">• that the land was taken from them at devastating cost, with no just resolution </w:t>
      </w:r>
    </w:p>
    <w:p w14:paraId="54ADD1AB" w14:textId="77777777" w:rsidR="000B655A" w:rsidRPr="002C2175" w:rsidRDefault="000B655A" w:rsidP="00B71ED1">
      <w:pPr>
        <w:ind w:left="144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 xml:space="preserve">• that this trauma is ongoing and diminishes us all </w:t>
      </w:r>
    </w:p>
    <w:p w14:paraId="2B5179D8" w14:textId="77777777" w:rsidR="000B655A" w:rsidRPr="002C2175" w:rsidRDefault="000B655A" w:rsidP="00B71ED1">
      <w:pPr>
        <w:ind w:left="144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 xml:space="preserve">• that our testimonies call us to be in right relationship with all peoples, the land and our environment. </w:t>
      </w:r>
    </w:p>
    <w:p w14:paraId="6FBC1C72" w14:textId="77777777" w:rsidR="000B655A" w:rsidRPr="002C2175" w:rsidRDefault="000B655A" w:rsidP="00B71ED1">
      <w:pPr>
        <w:spacing w:before="120"/>
        <w:ind w:left="72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 xml:space="preserve">Therefore, we seek in our daily lives: </w:t>
      </w:r>
    </w:p>
    <w:p w14:paraId="1E9C3E79" w14:textId="77777777" w:rsidR="000B655A" w:rsidRPr="002C2175" w:rsidRDefault="000B655A" w:rsidP="00B71ED1">
      <w:pPr>
        <w:ind w:left="144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 xml:space="preserve">• to educate ourselves about the true history and present reality of Aboriginal and Torres Strait Islander peoples, and uphold their right to self-determination </w:t>
      </w:r>
    </w:p>
    <w:p w14:paraId="6B156193" w14:textId="77777777" w:rsidR="000B655A" w:rsidRPr="002C2175" w:rsidRDefault="000B655A" w:rsidP="00B71ED1">
      <w:pPr>
        <w:ind w:left="144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 xml:space="preserve">• to acknowledge within ourselves, and bring into the light, that which contributes to the debilitating effects of racism, insensitivity, lack of awareness and misrepresentation </w:t>
      </w:r>
    </w:p>
    <w:p w14:paraId="2E4D3865" w14:textId="77777777" w:rsidR="000B655A" w:rsidRPr="002C2175" w:rsidRDefault="000B655A" w:rsidP="00B71ED1">
      <w:pPr>
        <w:ind w:left="1440"/>
        <w:rPr>
          <w:i/>
          <w:iCs/>
          <w:color w:val="000000" w:themeColor="text1"/>
        </w:rPr>
      </w:pPr>
      <w:r w:rsidRPr="002C2175">
        <w:rPr>
          <w:i/>
          <w:iCs/>
          <w:color w:val="000000" w:themeColor="text1"/>
          <w:lang w:val="en-GB"/>
        </w:rPr>
        <w:t xml:space="preserve">• to work towards justice and peace, and healing for us all. </w:t>
      </w:r>
    </w:p>
    <w:p w14:paraId="6379350F" w14:textId="5CC9BCC2" w:rsidR="000B655A" w:rsidRPr="00A963DC" w:rsidRDefault="000B655A" w:rsidP="00B71ED1">
      <w:pPr>
        <w:ind w:left="720"/>
        <w:rPr>
          <w:color w:val="000000" w:themeColor="text1"/>
        </w:rPr>
      </w:pPr>
      <w:r w:rsidRPr="000B655A">
        <w:rPr>
          <w:i/>
          <w:iCs/>
          <w:color w:val="000000" w:themeColor="text1"/>
          <w:lang w:val="en-GB"/>
        </w:rPr>
        <w:t>First Nations Peoples Concerns Committee 2017</w:t>
      </w:r>
      <w:r w:rsidR="00A963DC">
        <w:rPr>
          <w:color w:val="000000" w:themeColor="text1"/>
          <w:lang w:val="en-GB"/>
        </w:rPr>
        <w:t xml:space="preserve"> </w:t>
      </w:r>
      <w:r w:rsidR="00A963DC">
        <w:rPr>
          <w:color w:val="000000" w:themeColor="text1"/>
          <w:lang w:val="en-GB"/>
        </w:rPr>
        <w:tab/>
      </w:r>
      <w:r w:rsidR="00A963DC">
        <w:rPr>
          <w:color w:val="000000" w:themeColor="text1"/>
          <w:lang w:val="en-GB"/>
        </w:rPr>
        <w:tab/>
      </w:r>
      <w:r w:rsidR="00A963DC">
        <w:rPr>
          <w:color w:val="000000" w:themeColor="text1"/>
          <w:lang w:val="en-GB"/>
        </w:rPr>
        <w:t xml:space="preserve">as </w:t>
      </w:r>
      <w:r w:rsidR="00BA2415">
        <w:rPr>
          <w:color w:val="000000" w:themeColor="text1"/>
          <w:lang w:val="en-GB"/>
        </w:rPr>
        <w:t>at the beginning</w:t>
      </w:r>
      <w:r w:rsidR="00A963DC">
        <w:rPr>
          <w:color w:val="000000" w:themeColor="text1"/>
          <w:lang w:val="en-GB"/>
        </w:rPr>
        <w:t xml:space="preserve"> of the Handbook. </w:t>
      </w:r>
    </w:p>
    <w:p w14:paraId="3BF56D65" w14:textId="77777777" w:rsidR="000B655A" w:rsidRPr="009576F5" w:rsidRDefault="000B655A" w:rsidP="00B71ED1">
      <w:pPr>
        <w:rPr>
          <w:color w:val="000000" w:themeColor="text1"/>
          <w:sz w:val="10"/>
          <w:szCs w:val="10"/>
        </w:rPr>
      </w:pPr>
    </w:p>
    <w:p w14:paraId="51729993" w14:textId="77777777" w:rsidR="002516AD" w:rsidRPr="00F60808" w:rsidRDefault="000B655A" w:rsidP="00B71ED1">
      <w:pPr>
        <w:rPr>
          <w:color w:val="000000" w:themeColor="text1"/>
        </w:rPr>
      </w:pPr>
      <w:r>
        <w:rPr>
          <w:color w:val="000000" w:themeColor="text1"/>
        </w:rPr>
        <w:t xml:space="preserve">Vidya introduced the Committee members and </w:t>
      </w:r>
      <w:r w:rsidR="000D797F">
        <w:rPr>
          <w:color w:val="000000" w:themeColor="text1"/>
        </w:rPr>
        <w:t xml:space="preserve">Weis introduced the </w:t>
      </w:r>
      <w:r>
        <w:rPr>
          <w:color w:val="000000" w:themeColor="text1"/>
        </w:rPr>
        <w:t>Handbook Liaison Friends.</w:t>
      </w:r>
    </w:p>
    <w:p w14:paraId="58FE57BA" w14:textId="77777777" w:rsidR="009576F5" w:rsidRPr="009576F5" w:rsidRDefault="009576F5" w:rsidP="009576F5">
      <w:pPr>
        <w:rPr>
          <w:color w:val="000000" w:themeColor="text1"/>
          <w:sz w:val="10"/>
          <w:szCs w:val="10"/>
        </w:rPr>
      </w:pPr>
    </w:p>
    <w:p w14:paraId="5C83B2C0" w14:textId="4FB6434D" w:rsidR="00B60B92" w:rsidRDefault="00CB5767" w:rsidP="00B71ED1">
      <w:pPr>
        <w:autoSpaceDE w:val="0"/>
        <w:autoSpaceDN w:val="0"/>
        <w:adjustRightInd w:val="0"/>
        <w:rPr>
          <w:rFonts w:ascii="Optima-Bold" w:hAnsi="Optima-Bold" w:cs="Optima-Bold"/>
          <w:color w:val="000000"/>
        </w:rPr>
      </w:pPr>
      <w:r>
        <w:t xml:space="preserve">1. </w:t>
      </w:r>
      <w:r w:rsidR="000B655A">
        <w:t xml:space="preserve">Wies introduced section </w:t>
      </w:r>
      <w:r w:rsidR="0025504C" w:rsidRPr="00CB5767">
        <w:rPr>
          <w:rFonts w:ascii="Optima-Bold" w:hAnsi="Optima-Bold" w:cs="Optima-Bold"/>
          <w:b/>
          <w:bCs/>
          <w:color w:val="000000"/>
        </w:rPr>
        <w:t xml:space="preserve">4.3.2 Planning a wedding or celebration of commitment. </w:t>
      </w:r>
      <w:r w:rsidR="009102EA" w:rsidRPr="00CB5767">
        <w:rPr>
          <w:rFonts w:ascii="Optima-Bold" w:hAnsi="Optima-Bold" w:cs="Optima-Bold"/>
          <w:color w:val="000000"/>
        </w:rPr>
        <w:t>CRQ</w:t>
      </w:r>
      <w:r w:rsidR="000D797F">
        <w:rPr>
          <w:rFonts w:ascii="Optima-Bold" w:hAnsi="Optima-Bold" w:cs="Optima-Bold"/>
          <w:color w:val="000000"/>
        </w:rPr>
        <w:t> </w:t>
      </w:r>
      <w:r w:rsidR="009102EA" w:rsidRPr="00CB5767">
        <w:rPr>
          <w:rFonts w:ascii="Optima-Bold" w:hAnsi="Optima-Bold" w:cs="Optima-Bold"/>
          <w:color w:val="000000"/>
        </w:rPr>
        <w:t>raised</w:t>
      </w:r>
      <w:r w:rsidR="0025504C" w:rsidRPr="00CB5767">
        <w:rPr>
          <w:rFonts w:ascii="Optima-Bold" w:hAnsi="Optima-Bold" w:cs="Optima-Bold"/>
          <w:color w:val="000000"/>
        </w:rPr>
        <w:t xml:space="preserve"> a question about the legality of a Quaker Registering Officer marrying couples where there is ‘a less significant link’ with Friends. </w:t>
      </w:r>
      <w:r w:rsidR="0021013D" w:rsidRPr="00CB5767">
        <w:rPr>
          <w:rFonts w:ascii="Optima-Bold" w:hAnsi="Optima-Bold" w:cs="Optima-Bold"/>
          <w:color w:val="000000"/>
        </w:rPr>
        <w:t>Alan Clayton brought our attention to The</w:t>
      </w:r>
      <w:r w:rsidR="000D797F">
        <w:rPr>
          <w:rFonts w:ascii="Optima-Bold" w:hAnsi="Optima-Bold" w:cs="Optima-Bold"/>
          <w:color w:val="000000"/>
        </w:rPr>
        <w:t> </w:t>
      </w:r>
      <w:r w:rsidR="0021013D" w:rsidRPr="00CB5767">
        <w:rPr>
          <w:rFonts w:ascii="Optima-Bold" w:hAnsi="Optima-Bold" w:cs="Optima-Bold"/>
          <w:color w:val="000000"/>
        </w:rPr>
        <w:t xml:space="preserve">Marriage Act (Cwth), </w:t>
      </w:r>
      <w:r w:rsidR="00B9571A">
        <w:rPr>
          <w:rFonts w:ascii="Optima-Bold" w:hAnsi="Optima-Bold" w:cs="Optima-Bold"/>
          <w:color w:val="000000"/>
        </w:rPr>
        <w:t>1961 as amended, S</w:t>
      </w:r>
      <w:r w:rsidR="0021013D" w:rsidRPr="00CB5767">
        <w:rPr>
          <w:rFonts w:ascii="Optima-Bold" w:hAnsi="Optima-Bold" w:cs="Optima-Bold"/>
          <w:color w:val="000000"/>
        </w:rPr>
        <w:t>ection 2A</w:t>
      </w:r>
      <w:r w:rsidR="00B60B92" w:rsidRPr="00B9571A">
        <w:rPr>
          <w:rFonts w:ascii="Optima-Bold" w:hAnsi="Optima-Bold" w:cs="Optima-Bold"/>
          <w:color w:val="000000"/>
        </w:rPr>
        <w:t>(</w:t>
      </w:r>
      <w:r w:rsidRPr="00B9571A">
        <w:rPr>
          <w:rFonts w:ascii="Optima-Bold" w:hAnsi="Optima-Bold" w:cs="Optima-Bold"/>
          <w:color w:val="000000"/>
        </w:rPr>
        <w:t>b</w:t>
      </w:r>
      <w:r w:rsidR="00B60B92" w:rsidRPr="00B9571A">
        <w:rPr>
          <w:rFonts w:ascii="Optima-Bold" w:hAnsi="Optima-Bold" w:cs="Optima-Bold"/>
          <w:color w:val="000000"/>
        </w:rPr>
        <w:t>)</w:t>
      </w:r>
      <w:r w:rsidR="0021013D" w:rsidRPr="00B9571A">
        <w:rPr>
          <w:rFonts w:ascii="Optima-Bold" w:hAnsi="Optima-Bold" w:cs="Optima-Bold"/>
          <w:color w:val="000000"/>
        </w:rPr>
        <w:t>, which appears</w:t>
      </w:r>
      <w:r w:rsidR="0021013D" w:rsidRPr="00CB5767">
        <w:rPr>
          <w:rFonts w:ascii="Optima-Bold" w:hAnsi="Optima-Bold" w:cs="Optima-Bold"/>
          <w:color w:val="000000"/>
        </w:rPr>
        <w:t xml:space="preserve"> not to </w:t>
      </w:r>
      <w:r w:rsidR="00EE42DF">
        <w:rPr>
          <w:rFonts w:ascii="Optima-Bold" w:hAnsi="Optima-Bold" w:cs="Optima-Bold"/>
          <w:color w:val="000000"/>
        </w:rPr>
        <w:t xml:space="preserve">narrowly </w:t>
      </w:r>
      <w:r w:rsidR="0021013D" w:rsidRPr="00CB5767">
        <w:rPr>
          <w:rFonts w:ascii="Optima-Bold" w:hAnsi="Optima-Bold" w:cs="Optima-Bold"/>
          <w:color w:val="000000"/>
        </w:rPr>
        <w:t>limit Quaker Registering Officers.</w:t>
      </w:r>
      <w:r w:rsidR="00B60B92">
        <w:rPr>
          <w:rFonts w:ascii="Optima-Bold" w:hAnsi="Optima-Bold" w:cs="Optima-Bold"/>
          <w:color w:val="000000"/>
        </w:rPr>
        <w:t xml:space="preserve"> </w:t>
      </w:r>
    </w:p>
    <w:p w14:paraId="436D5235" w14:textId="77777777" w:rsidR="0021013D" w:rsidRDefault="00B60B92" w:rsidP="00B71ED1">
      <w:pPr>
        <w:autoSpaceDE w:val="0"/>
        <w:autoSpaceDN w:val="0"/>
        <w:adjustRightInd w:val="0"/>
        <w:ind w:left="567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S</w:t>
      </w:r>
      <w:r w:rsidRPr="00B60B92">
        <w:rPr>
          <w:rFonts w:ascii="Optima-Bold" w:hAnsi="Optima-Bold" w:cs="Optima-Bold"/>
          <w:color w:val="000000"/>
        </w:rPr>
        <w:t xml:space="preserve">ection 2A(b) </w:t>
      </w:r>
      <w:r w:rsidRPr="00F821D5">
        <w:rPr>
          <w:rFonts w:ascii="Optima-Bold" w:hAnsi="Optima-Bold" w:cs="Optima-Bold"/>
          <w:i/>
          <w:iCs/>
          <w:color w:val="000000"/>
        </w:rPr>
        <w:t>- It is an object of this Act to create a legal fram</w:t>
      </w:r>
      <w:r w:rsidRPr="00B9571A">
        <w:rPr>
          <w:rFonts w:ascii="Optima-Bold" w:hAnsi="Optima-Bold" w:cs="Optima-Bold"/>
          <w:i/>
          <w:iCs/>
          <w:color w:val="000000"/>
        </w:rPr>
        <w:t>ework</w:t>
      </w:r>
      <w:r w:rsidRPr="00F821D5">
        <w:rPr>
          <w:rFonts w:ascii="Optima-Bold" w:hAnsi="Optima-Bold" w:cs="Optima-Bold"/>
          <w:i/>
          <w:iCs/>
          <w:color w:val="000000"/>
        </w:rPr>
        <w:t xml:space="preserve"> </w:t>
      </w:r>
      <w:r w:rsidR="0063134B" w:rsidRPr="00F821D5">
        <w:rPr>
          <w:rFonts w:ascii="Optima-Bold" w:hAnsi="Optima-Bold" w:cs="Optima-Bold"/>
          <w:i/>
          <w:iCs/>
          <w:color w:val="000000"/>
        </w:rPr>
        <w:t>…</w:t>
      </w:r>
      <w:r w:rsidRPr="00F821D5">
        <w:rPr>
          <w:rFonts w:ascii="Optima-Bold" w:hAnsi="Optima-Bold" w:cs="Optima-Bold"/>
          <w:i/>
          <w:iCs/>
          <w:color w:val="000000"/>
        </w:rPr>
        <w:t xml:space="preserve"> (b) to allow ministers of religion to solemnise marriage, respecting the doctrines, tenets and beliefs of their religion, the views of their religious community or their own religious beliefs; . . .</w:t>
      </w:r>
    </w:p>
    <w:p w14:paraId="4F7C67B6" w14:textId="77777777" w:rsidR="009576F5" w:rsidRPr="009576F5" w:rsidRDefault="009576F5" w:rsidP="009576F5">
      <w:pPr>
        <w:rPr>
          <w:color w:val="000000" w:themeColor="text1"/>
          <w:sz w:val="10"/>
          <w:szCs w:val="10"/>
        </w:rPr>
      </w:pPr>
    </w:p>
    <w:p w14:paraId="5A4260DB" w14:textId="77777777" w:rsidR="0021013D" w:rsidRDefault="00B60B92" w:rsidP="00B71ED1">
      <w:pPr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 xml:space="preserve">It is our practice that the solemnisation of </w:t>
      </w:r>
      <w:r w:rsidR="0063134B">
        <w:rPr>
          <w:rFonts w:ascii="Optima-Bold" w:hAnsi="Optima-Bold" w:cs="Optima-Bold"/>
          <w:color w:val="000000"/>
        </w:rPr>
        <w:t xml:space="preserve">a Quaker </w:t>
      </w:r>
      <w:r>
        <w:rPr>
          <w:rFonts w:ascii="Optima-Bold" w:hAnsi="Optima-Bold" w:cs="Optima-Bold"/>
          <w:color w:val="000000"/>
        </w:rPr>
        <w:t xml:space="preserve">marriage </w:t>
      </w:r>
      <w:r w:rsidR="0063134B">
        <w:rPr>
          <w:rFonts w:ascii="Optima-Bold" w:hAnsi="Optima-Bold" w:cs="Optima-Bold"/>
          <w:color w:val="000000"/>
        </w:rPr>
        <w:t>is</w:t>
      </w:r>
      <w:r>
        <w:rPr>
          <w:rFonts w:ascii="Optima-Bold" w:hAnsi="Optima-Bold" w:cs="Optima-Bold"/>
          <w:color w:val="000000"/>
        </w:rPr>
        <w:t xml:space="preserve"> agreed by the </w:t>
      </w:r>
      <w:r w:rsidR="00766510">
        <w:rPr>
          <w:rFonts w:ascii="Optima-Bold" w:hAnsi="Optima-Bold" w:cs="Optima-Bold"/>
          <w:color w:val="000000"/>
        </w:rPr>
        <w:t>Regional Meeting</w:t>
      </w:r>
      <w:r w:rsidR="009102EA">
        <w:rPr>
          <w:rFonts w:ascii="Optima-Bold" w:hAnsi="Optima-Bold" w:cs="Optima-Bold"/>
          <w:color w:val="000000"/>
        </w:rPr>
        <w:t>.</w:t>
      </w:r>
      <w:r w:rsidR="00766510">
        <w:rPr>
          <w:rFonts w:ascii="Optima-Bold" w:hAnsi="Optima-Bold" w:cs="Optima-Bold"/>
          <w:color w:val="000000"/>
        </w:rPr>
        <w:t xml:space="preserve"> </w:t>
      </w:r>
      <w:r w:rsidR="009102EA">
        <w:t xml:space="preserve">We note that </w:t>
      </w:r>
      <w:bookmarkStart w:id="0" w:name="_Hlk103765420"/>
      <w:r w:rsidR="009102EA">
        <w:t xml:space="preserve">Regional Meetings do not merely give permission for marriages, but establish the Meeting for Worship for that purpose. </w:t>
      </w:r>
      <w:r w:rsidR="009102EA">
        <w:rPr>
          <w:rFonts w:ascii="Optima-Bold" w:hAnsi="Optima-Bold" w:cs="Optima-Bold"/>
          <w:color w:val="000000"/>
        </w:rPr>
        <w:t>S</w:t>
      </w:r>
      <w:r w:rsidR="00766510">
        <w:rPr>
          <w:rFonts w:ascii="Optima-Bold" w:hAnsi="Optima-Bold" w:cs="Optima-Bold"/>
          <w:color w:val="000000"/>
        </w:rPr>
        <w:t>uch marriages are in the care of the Meeting</w:t>
      </w:r>
      <w:bookmarkEnd w:id="0"/>
      <w:r w:rsidR="00766510">
        <w:rPr>
          <w:rFonts w:ascii="Optima-Bold" w:hAnsi="Optima-Bold" w:cs="Optima-Bold"/>
          <w:color w:val="000000"/>
        </w:rPr>
        <w:t xml:space="preserve">. </w:t>
      </w:r>
    </w:p>
    <w:p w14:paraId="3CDE6555" w14:textId="77777777" w:rsidR="009576F5" w:rsidRPr="009576F5" w:rsidRDefault="009576F5" w:rsidP="009576F5">
      <w:pPr>
        <w:rPr>
          <w:color w:val="000000" w:themeColor="text1"/>
          <w:sz w:val="10"/>
          <w:szCs w:val="10"/>
        </w:rPr>
      </w:pPr>
    </w:p>
    <w:p w14:paraId="45C9E369" w14:textId="7EE762F6" w:rsidR="00CB5767" w:rsidRDefault="00CB5767" w:rsidP="00B71ED1">
      <w:r>
        <w:t>We agree in principle with WARM’s suggested rewording</w:t>
      </w:r>
      <w:r w:rsidR="00764EDA">
        <w:t>:</w:t>
      </w:r>
      <w:r w:rsidR="00BF382D">
        <w:t xml:space="preserve"> </w:t>
      </w:r>
      <w:bookmarkStart w:id="1" w:name="_Hlk103765705"/>
      <w:r>
        <w:t xml:space="preserve"> </w:t>
      </w:r>
      <w:bookmarkEnd w:id="1"/>
    </w:p>
    <w:p w14:paraId="2A844E0A" w14:textId="77777777" w:rsidR="003128FD" w:rsidRPr="00BF382D" w:rsidRDefault="003128FD" w:rsidP="00B71ED1">
      <w:pPr>
        <w:ind w:left="720"/>
        <w:rPr>
          <w:rFonts w:cstheme="minorHAnsi"/>
          <w:i/>
          <w:iCs/>
        </w:rPr>
      </w:pPr>
      <w:bookmarkStart w:id="2" w:name="_Hlk103765771"/>
      <w:r w:rsidRPr="00BF382D">
        <w:rPr>
          <w:rFonts w:cstheme="minorHAnsi"/>
          <w:i/>
          <w:iCs/>
        </w:rPr>
        <w:t>Marriages conducted by the Quaker Registering Officer are normally for a couple of whom at least one partner is a Member or Attender.</w:t>
      </w:r>
    </w:p>
    <w:p w14:paraId="7EBEFA66" w14:textId="36232858" w:rsidR="003128FD" w:rsidRPr="003128FD" w:rsidRDefault="003128FD" w:rsidP="00B71ED1">
      <w:pPr>
        <w:ind w:left="720"/>
        <w:rPr>
          <w:rFonts w:cstheme="minorHAnsi"/>
          <w:i/>
          <w:iCs/>
        </w:rPr>
      </w:pPr>
      <w:r w:rsidRPr="00BF382D">
        <w:rPr>
          <w:rFonts w:cstheme="minorHAnsi"/>
          <w:i/>
          <w:iCs/>
        </w:rPr>
        <w:t>Couples who have a less significant link to Quakers may be married by the Quaker Registering Officer. All marriages conducted by the Quaker Registering Officer need to have the permission of the Regional Meeting.</w:t>
      </w:r>
    </w:p>
    <w:bookmarkEnd w:id="2"/>
    <w:p w14:paraId="6C56E8C1" w14:textId="77777777" w:rsidR="009576F5" w:rsidRPr="009576F5" w:rsidRDefault="009576F5" w:rsidP="009576F5">
      <w:pPr>
        <w:rPr>
          <w:color w:val="000000" w:themeColor="text1"/>
          <w:sz w:val="10"/>
          <w:szCs w:val="10"/>
        </w:rPr>
      </w:pPr>
    </w:p>
    <w:p w14:paraId="7BEAD745" w14:textId="7BEEBB03" w:rsidR="00764EDA" w:rsidRDefault="00764EDA" w:rsidP="00B71ED1">
      <w:r>
        <w:t>We ask the Handbook Revision Committee to finalise the wording to include the points above and</w:t>
      </w:r>
      <w:r w:rsidR="00EF2FFA">
        <w:t>,</w:t>
      </w:r>
      <w:r>
        <w:t xml:space="preserve"> if deemed necessary, to include a reference to the Marriage Act and bring </w:t>
      </w:r>
      <w:r w:rsidR="00EF2FFA">
        <w:t>the revised text</w:t>
      </w:r>
      <w:r>
        <w:t xml:space="preserve"> forward for further consideration.</w:t>
      </w:r>
    </w:p>
    <w:p w14:paraId="763C21D5" w14:textId="77777777" w:rsidR="00764EDA" w:rsidRPr="00610A3F" w:rsidRDefault="00764EDA" w:rsidP="00B71ED1">
      <w:pPr>
        <w:rPr>
          <w:sz w:val="18"/>
        </w:rPr>
      </w:pPr>
    </w:p>
    <w:p w14:paraId="670F39C1" w14:textId="77777777" w:rsidR="0063134B" w:rsidRDefault="0063134B" w:rsidP="00B71ED1">
      <w:r>
        <w:t xml:space="preserve">2. Julie introduced section </w:t>
      </w:r>
      <w:r w:rsidR="00E211D0">
        <w:t xml:space="preserve">4.6.4 </w:t>
      </w:r>
      <w:r w:rsidR="00E211D0" w:rsidRPr="00E211D0">
        <w:rPr>
          <w:b/>
          <w:bCs/>
        </w:rPr>
        <w:t>Testimonies to the grace of God</w:t>
      </w:r>
      <w:r w:rsidR="00E211D0">
        <w:t xml:space="preserve">. A new draft has been developed since DiA was originally published, and has been promoted on the </w:t>
      </w:r>
      <w:r w:rsidR="000D797F">
        <w:t xml:space="preserve">AYM HRC </w:t>
      </w:r>
      <w:r w:rsidR="00E211D0">
        <w:t>webpage.</w:t>
      </w:r>
      <w:r w:rsidR="006B5026">
        <w:t xml:space="preserve"> We went through this section paragraph by paragraph.</w:t>
      </w:r>
    </w:p>
    <w:p w14:paraId="0AB2C667" w14:textId="77777777" w:rsidR="009576F5" w:rsidRPr="009576F5" w:rsidRDefault="009576F5" w:rsidP="009576F5">
      <w:pPr>
        <w:pStyle w:val="ListParagraph"/>
        <w:numPr>
          <w:ilvl w:val="0"/>
          <w:numId w:val="2"/>
        </w:numPr>
        <w:rPr>
          <w:color w:val="000000" w:themeColor="text1"/>
          <w:sz w:val="10"/>
          <w:szCs w:val="10"/>
        </w:rPr>
      </w:pPr>
    </w:p>
    <w:p w14:paraId="04FF12E2" w14:textId="77777777" w:rsidR="00176BCB" w:rsidRDefault="009502C8" w:rsidP="00B71ED1">
      <w:pPr>
        <w:pStyle w:val="ListParagraph"/>
        <w:numPr>
          <w:ilvl w:val="0"/>
          <w:numId w:val="2"/>
        </w:numPr>
      </w:pPr>
      <w:r>
        <w:lastRenderedPageBreak/>
        <w:t>A new Guideline is suggested</w:t>
      </w:r>
      <w:r w:rsidR="00176BCB">
        <w:t xml:space="preserve"> by the Committee</w:t>
      </w:r>
      <w:r>
        <w:t>; we agree that the second paragraph of this Guideline is unnecessary.</w:t>
      </w:r>
      <w:r w:rsidR="00176BCB">
        <w:t xml:space="preserve"> The guideline will be: </w:t>
      </w:r>
    </w:p>
    <w:p w14:paraId="5C17AF23" w14:textId="54280AF2" w:rsidR="00615108" w:rsidRDefault="00176BCB" w:rsidP="00B71ED1">
      <w:pPr>
        <w:ind w:left="360"/>
      </w:pPr>
      <w:r w:rsidRPr="00065CC3">
        <w:rPr>
          <w:rStyle w:val="markedcontent"/>
          <w:rFonts w:cstheme="minorHAnsi"/>
          <w:i/>
          <w:iCs/>
        </w:rPr>
        <w:t>[Our Society] would be an empty shell without the living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="00065CC3" w:rsidRPr="00065CC3">
        <w:rPr>
          <w:rStyle w:val="markedcontent"/>
          <w:rFonts w:cstheme="minorHAnsi"/>
          <w:i/>
          <w:iCs/>
        </w:rPr>
        <w:t>expression</w:t>
      </w:r>
      <w:r w:rsidRPr="00065CC3">
        <w:rPr>
          <w:rStyle w:val="markedcontent"/>
          <w:rFonts w:cstheme="minorHAnsi"/>
          <w:i/>
          <w:iCs/>
        </w:rPr>
        <w:t xml:space="preserve"> of our faith provided by generations of individual Friends. Our custom of writing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testimonies to the grace of God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as shown in the lives of Friends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provides us with a wealth o</w:t>
      </w:r>
      <w:r w:rsidR="00065CC3">
        <w:rPr>
          <w:rStyle w:val="markedcontent"/>
          <w:rFonts w:cstheme="minorHAnsi"/>
          <w:i/>
          <w:iCs/>
        </w:rPr>
        <w:t xml:space="preserve">f </w:t>
      </w:r>
      <w:r w:rsidRPr="00065CC3">
        <w:rPr>
          <w:rStyle w:val="markedcontent"/>
          <w:rFonts w:cstheme="minorHAnsi"/>
          <w:i/>
          <w:iCs/>
        </w:rPr>
        <w:t>material showing ordinary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Friends living out their faith from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day to day. These testimonies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show us that, whatever our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circumstances, God can be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present with us, and they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encourage us each to be faithful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to our own calling.</w:t>
      </w:r>
      <w:r w:rsidR="00065CC3">
        <w:rPr>
          <w:rStyle w:val="markedcontent"/>
          <w:rFonts w:cstheme="minorHAnsi"/>
          <w:i/>
          <w:iCs/>
        </w:rPr>
        <w:tab/>
      </w:r>
      <w:r w:rsidR="00B70FF8">
        <w:rPr>
          <w:rStyle w:val="markedcontent"/>
          <w:rFonts w:cstheme="minorHAnsi"/>
          <w:i/>
          <w:iCs/>
        </w:rPr>
        <w:tab/>
      </w:r>
      <w:r w:rsidRPr="00065CC3">
        <w:rPr>
          <w:rStyle w:val="markedcontent"/>
          <w:rFonts w:cstheme="minorHAnsi"/>
        </w:rPr>
        <w:t xml:space="preserve"> (From the Introduction</w:t>
      </w:r>
      <w:r w:rsidR="00065CC3">
        <w:rPr>
          <w:rStyle w:val="markedcontent"/>
          <w:rFonts w:cstheme="minorHAnsi"/>
        </w:rPr>
        <w:t xml:space="preserve"> </w:t>
      </w:r>
      <w:r w:rsidRPr="00065CC3">
        <w:rPr>
          <w:rStyle w:val="markedcontent"/>
          <w:rFonts w:cstheme="minorHAnsi"/>
        </w:rPr>
        <w:t xml:space="preserve">to Chapter 18 of </w:t>
      </w:r>
      <w:r w:rsidRPr="00065CC3">
        <w:rPr>
          <w:rStyle w:val="markedcontent"/>
          <w:rFonts w:cstheme="minorHAnsi"/>
          <w:i/>
          <w:iCs/>
        </w:rPr>
        <w:t>Quaker faith</w:t>
      </w:r>
      <w:r w:rsidR="00065CC3">
        <w:rPr>
          <w:rStyle w:val="markedcontent"/>
          <w:rFonts w:cstheme="minorHAnsi"/>
          <w:i/>
          <w:iCs/>
        </w:rPr>
        <w:t xml:space="preserve"> </w:t>
      </w:r>
      <w:r w:rsidRPr="00065CC3">
        <w:rPr>
          <w:rStyle w:val="markedcontent"/>
          <w:rFonts w:cstheme="minorHAnsi"/>
          <w:i/>
          <w:iCs/>
        </w:rPr>
        <w:t>and practice online</w:t>
      </w:r>
      <w:r w:rsidRPr="00065CC3">
        <w:rPr>
          <w:rStyle w:val="markedcontent"/>
          <w:rFonts w:cstheme="minorHAnsi"/>
        </w:rPr>
        <w:t>. Britain</w:t>
      </w:r>
      <w:r w:rsidR="00065CC3">
        <w:rPr>
          <w:rStyle w:val="markedcontent"/>
          <w:rFonts w:cstheme="minorHAnsi"/>
        </w:rPr>
        <w:t xml:space="preserve"> </w:t>
      </w:r>
      <w:r w:rsidRPr="00065CC3">
        <w:rPr>
          <w:rStyle w:val="markedcontent"/>
          <w:rFonts w:cstheme="minorHAnsi"/>
        </w:rPr>
        <w:t>Yearly Meeting, 2022.)</w:t>
      </w:r>
    </w:p>
    <w:p w14:paraId="0D63DE9C" w14:textId="3BACE56E" w:rsidR="00BD2963" w:rsidRDefault="00615108" w:rsidP="00B71ED1">
      <w:pPr>
        <w:pStyle w:val="ListParagraph"/>
        <w:numPr>
          <w:ilvl w:val="0"/>
          <w:numId w:val="2"/>
        </w:numPr>
        <w:spacing w:after="120"/>
      </w:pPr>
      <w:r>
        <w:t xml:space="preserve">Para 1 – we agree the suggested NSWRM wording (as wordsmithed by the Handbook Revision Committee) is an improvement. We agree to remove the word ‘regular’ before </w:t>
      </w:r>
      <w:r w:rsidR="006C7817">
        <w:t>‘</w:t>
      </w:r>
      <w:r>
        <w:t>Attender</w:t>
      </w:r>
      <w:r w:rsidR="006C7817">
        <w:t xml:space="preserve">’ </w:t>
      </w:r>
      <w:r w:rsidR="009F6F79">
        <w:t>viz</w:t>
      </w:r>
      <w:r w:rsidR="006C7817">
        <w:t xml:space="preserve">: </w:t>
      </w:r>
      <w:r w:rsidR="009113C5" w:rsidRPr="009113C5">
        <w:rPr>
          <w:rFonts w:cstheme="minorHAnsi"/>
          <w:i/>
          <w:iCs/>
        </w:rPr>
        <w:t>When Friends learn that a Member or Attender of the Meeting has died that Meeting initially minutes that death in its next MfWfB. The minute may be brief and factual and is a record of that death.</w:t>
      </w:r>
    </w:p>
    <w:p w14:paraId="0009CA7B" w14:textId="72EA83F3" w:rsidR="00615108" w:rsidRDefault="00615108" w:rsidP="00B71ED1">
      <w:pPr>
        <w:pStyle w:val="ListParagraph"/>
        <w:numPr>
          <w:ilvl w:val="0"/>
          <w:numId w:val="2"/>
        </w:numPr>
      </w:pPr>
      <w:r>
        <w:t>Para 2 – we agree with the suggested NSWRM wording (as wordsmithed)</w:t>
      </w:r>
      <w:r w:rsidR="009F6F79">
        <w:t xml:space="preserve"> viz: </w:t>
      </w:r>
      <w:r w:rsidR="009113C5" w:rsidRPr="009149F3">
        <w:rPr>
          <w:rFonts w:cstheme="minorHAnsi"/>
          <w:i/>
          <w:iCs/>
        </w:rPr>
        <w:t xml:space="preserve">The Regional Meeting also discerns whether to write a ‘Testimony to the Grace of God’ in the life of the deceased Friend. If agreed upon, </w:t>
      </w:r>
      <w:r w:rsidR="009113C5" w:rsidRPr="009149F3">
        <w:rPr>
          <w:rFonts w:cstheme="minorHAnsi"/>
          <w:i/>
          <w:iCs/>
          <w:strike/>
        </w:rPr>
        <w:t>it</w:t>
      </w:r>
      <w:r w:rsidR="009113C5" w:rsidRPr="009149F3">
        <w:rPr>
          <w:rFonts w:cstheme="minorHAnsi"/>
          <w:i/>
          <w:iCs/>
        </w:rPr>
        <w:t xml:space="preserve"> the Meeting needs to ensure that the Friends appointed to do so fully understand what is involved.</w:t>
      </w:r>
    </w:p>
    <w:p w14:paraId="12A982AA" w14:textId="58A00690" w:rsidR="006B5026" w:rsidRDefault="00D9569F" w:rsidP="00B71ED1">
      <w:pPr>
        <w:pStyle w:val="ListParagraph"/>
        <w:numPr>
          <w:ilvl w:val="0"/>
          <w:numId w:val="2"/>
        </w:numPr>
      </w:pPr>
      <w:r>
        <w:t>W</w:t>
      </w:r>
      <w:r w:rsidR="004471A2">
        <w:t xml:space="preserve">e are not in unity with TRM’s </w:t>
      </w:r>
      <w:r w:rsidR="00E4597B">
        <w:t>suggestions</w:t>
      </w:r>
      <w:r w:rsidR="0031385E">
        <w:t xml:space="preserve"> for additional content</w:t>
      </w:r>
      <w:r w:rsidR="004471A2">
        <w:t xml:space="preserve">. </w:t>
      </w:r>
      <w:r w:rsidR="00E13CDC">
        <w:t>We hear a possible rewording ‘</w:t>
      </w:r>
      <w:r w:rsidR="00E13CDC" w:rsidRPr="009113C5">
        <w:rPr>
          <w:i/>
          <w:iCs/>
        </w:rPr>
        <w:t>We are reminded that useful information for the Testimony may arise at the funeral or memorial meeting (meeting for thanksgiving)’</w:t>
      </w:r>
      <w:r w:rsidR="00E13CDC">
        <w:t xml:space="preserve">. </w:t>
      </w:r>
      <w:r w:rsidR="00677F8F">
        <w:t xml:space="preserve">We agree that ‘Archives such as the membership application letter may be useful’ is unnecessary detail. </w:t>
      </w:r>
    </w:p>
    <w:p w14:paraId="0C066D28" w14:textId="56E21F90" w:rsidR="00615108" w:rsidRDefault="00677F8F" w:rsidP="00B71ED1">
      <w:pPr>
        <w:pStyle w:val="ListParagraph"/>
        <w:numPr>
          <w:ilvl w:val="0"/>
          <w:numId w:val="2"/>
        </w:numPr>
      </w:pPr>
      <w:r>
        <w:t xml:space="preserve">We agree that SANTRM’s suggestion that </w:t>
      </w:r>
      <w:r w:rsidR="005F4561">
        <w:t>‘</w:t>
      </w:r>
      <w:r>
        <w:t xml:space="preserve">a Testimony is a response to the spiritual </w:t>
      </w:r>
      <w:r w:rsidR="006B5026">
        <w:t>gifts</w:t>
      </w:r>
      <w:r>
        <w:t xml:space="preserve"> of the life lived</w:t>
      </w:r>
      <w:r w:rsidR="005F4561">
        <w:t>’</w:t>
      </w:r>
      <w:r w:rsidR="006B5026">
        <w:t>, while valuable,</w:t>
      </w:r>
      <w:r>
        <w:t xml:space="preserve"> </w:t>
      </w:r>
      <w:r w:rsidR="006B5026">
        <w:t>is already in the text</w:t>
      </w:r>
      <w:r>
        <w:t>.</w:t>
      </w:r>
    </w:p>
    <w:p w14:paraId="71FB2A10" w14:textId="77777777" w:rsidR="009576F5" w:rsidRPr="009576F5" w:rsidRDefault="009576F5" w:rsidP="009576F5">
      <w:pPr>
        <w:pStyle w:val="ListParagraph"/>
        <w:numPr>
          <w:ilvl w:val="0"/>
          <w:numId w:val="2"/>
        </w:numPr>
        <w:rPr>
          <w:color w:val="000000" w:themeColor="text1"/>
          <w:sz w:val="10"/>
          <w:szCs w:val="10"/>
        </w:rPr>
      </w:pPr>
    </w:p>
    <w:p w14:paraId="354C3D60" w14:textId="48DB63EA" w:rsidR="00025E39" w:rsidRDefault="00025E39" w:rsidP="00B71ED1">
      <w:r>
        <w:t>We ask the Handbook Revision Committee to finalise the wording to include the points above and bring the revised text forward for further consideration.</w:t>
      </w:r>
    </w:p>
    <w:p w14:paraId="27E253DB" w14:textId="77777777" w:rsidR="009576F5" w:rsidRPr="009576F5" w:rsidRDefault="009576F5" w:rsidP="009576F5">
      <w:pPr>
        <w:rPr>
          <w:color w:val="000000" w:themeColor="text1"/>
          <w:sz w:val="10"/>
          <w:szCs w:val="10"/>
        </w:rPr>
      </w:pPr>
    </w:p>
    <w:p w14:paraId="3C9D74C7" w14:textId="77777777" w:rsidR="00677F8F" w:rsidRDefault="00677F8F" w:rsidP="00B71ED1">
      <w:r>
        <w:t xml:space="preserve">3. </w:t>
      </w:r>
      <w:r w:rsidR="001B6CD7">
        <w:t xml:space="preserve">Wies introduced </w:t>
      </w:r>
      <w:r w:rsidR="00092CFF">
        <w:t xml:space="preserve">the </w:t>
      </w:r>
      <w:r w:rsidR="00092CFF" w:rsidRPr="00092CFF">
        <w:rPr>
          <w:b/>
          <w:bCs/>
          <w:i/>
          <w:iCs/>
        </w:rPr>
        <w:t>Australian Friend</w:t>
      </w:r>
      <w:r w:rsidR="00092CFF">
        <w:t xml:space="preserve"> section. The issue in this case is the term for the type of </w:t>
      </w:r>
      <w:r w:rsidR="00A952E8">
        <w:t>c</w:t>
      </w:r>
      <w:r w:rsidR="00092CFF">
        <w:t>ommittee, which is no longer a hosted committee.</w:t>
      </w:r>
      <w:r w:rsidR="00275E48">
        <w:t xml:space="preserve"> It is also not a representative committee.</w:t>
      </w:r>
    </w:p>
    <w:p w14:paraId="7F95C27E" w14:textId="77777777" w:rsidR="00CB5767" w:rsidRPr="00610A3F" w:rsidRDefault="00CB5767" w:rsidP="00B71ED1">
      <w:pPr>
        <w:rPr>
          <w:sz w:val="10"/>
        </w:rPr>
      </w:pPr>
    </w:p>
    <w:p w14:paraId="2F535190" w14:textId="77777777" w:rsidR="00CB5767" w:rsidRDefault="00092CFF" w:rsidP="00B71ED1">
      <w:r>
        <w:t xml:space="preserve">The traditional name for a committee which has members </w:t>
      </w:r>
      <w:r w:rsidR="00275E48">
        <w:t>chosen for their gifts or interest</w:t>
      </w:r>
      <w:r>
        <w:t xml:space="preserve"> </w:t>
      </w:r>
      <w:r w:rsidR="00D53247">
        <w:t xml:space="preserve">in learning </w:t>
      </w:r>
      <w:r>
        <w:t xml:space="preserve">would be an ’expert’ committee. The term ‘expert’ is awkward. </w:t>
      </w:r>
      <w:r w:rsidR="00275E48">
        <w:t>The term ‘specialist’ has also been rejected by some Friends.</w:t>
      </w:r>
    </w:p>
    <w:p w14:paraId="6294C733" w14:textId="77777777" w:rsidR="009576F5" w:rsidRPr="009576F5" w:rsidRDefault="009576F5" w:rsidP="009576F5">
      <w:pPr>
        <w:rPr>
          <w:color w:val="000000" w:themeColor="text1"/>
          <w:sz w:val="10"/>
          <w:szCs w:val="10"/>
        </w:rPr>
      </w:pPr>
    </w:p>
    <w:p w14:paraId="2A79D75D" w14:textId="77777777" w:rsidR="00092CFF" w:rsidRDefault="00092CFF" w:rsidP="00B71ED1">
      <w:r>
        <w:t xml:space="preserve">We brainstormed other possible names, e.g. </w:t>
      </w:r>
    </w:p>
    <w:p w14:paraId="1F47CB4D" w14:textId="77777777" w:rsidR="00F85359" w:rsidRDefault="00F85359" w:rsidP="00B71ED1">
      <w:pPr>
        <w:pStyle w:val="ListParagraph"/>
        <w:numPr>
          <w:ilvl w:val="0"/>
          <w:numId w:val="3"/>
        </w:numPr>
      </w:pPr>
      <w:r>
        <w:t>‘special gifts committee’</w:t>
      </w:r>
    </w:p>
    <w:p w14:paraId="204F0B83" w14:textId="77777777" w:rsidR="00F85359" w:rsidRDefault="00F85359" w:rsidP="00B71ED1">
      <w:pPr>
        <w:pStyle w:val="ListParagraph"/>
        <w:numPr>
          <w:ilvl w:val="0"/>
          <w:numId w:val="3"/>
        </w:numPr>
      </w:pPr>
      <w:r>
        <w:t>‘an AYM committee with members drawn from several Regional Meetings’</w:t>
      </w:r>
    </w:p>
    <w:p w14:paraId="13795F75" w14:textId="77777777" w:rsidR="00F85359" w:rsidRDefault="00F85359" w:rsidP="00B71ED1">
      <w:pPr>
        <w:pStyle w:val="ListParagraph"/>
        <w:numPr>
          <w:ilvl w:val="0"/>
          <w:numId w:val="3"/>
        </w:numPr>
      </w:pPr>
      <w:r>
        <w:t>‘national committee’</w:t>
      </w:r>
    </w:p>
    <w:p w14:paraId="324FCE31" w14:textId="77777777" w:rsidR="00F85359" w:rsidRDefault="00F85359" w:rsidP="00B71ED1">
      <w:pPr>
        <w:pStyle w:val="ListParagraph"/>
        <w:numPr>
          <w:ilvl w:val="0"/>
          <w:numId w:val="3"/>
        </w:numPr>
      </w:pPr>
      <w:r>
        <w:t>‘specialist committee’</w:t>
      </w:r>
    </w:p>
    <w:p w14:paraId="3AA5FA9A" w14:textId="77777777" w:rsidR="00F85359" w:rsidRDefault="00F85359" w:rsidP="00B71ED1">
      <w:pPr>
        <w:pStyle w:val="ListParagraph"/>
        <w:numPr>
          <w:ilvl w:val="0"/>
          <w:numId w:val="3"/>
        </w:numPr>
      </w:pPr>
      <w:r>
        <w:t>‘other committee’</w:t>
      </w:r>
    </w:p>
    <w:p w14:paraId="0C8BC6C2" w14:textId="70BFFD5C" w:rsidR="00F85359" w:rsidRDefault="00A952E8" w:rsidP="00B71ED1">
      <w:r w:rsidRPr="00610A3F">
        <w:rPr>
          <w:sz w:val="16"/>
        </w:rPr>
        <w:br/>
      </w:r>
      <w:r w:rsidR="00F85359">
        <w:t xml:space="preserve">We ask, do we need </w:t>
      </w:r>
      <w:r>
        <w:t>a name for e</w:t>
      </w:r>
      <w:r w:rsidR="00161A88">
        <w:t>very</w:t>
      </w:r>
      <w:r>
        <w:t xml:space="preserve"> type of committee</w:t>
      </w:r>
      <w:r w:rsidR="00F85359">
        <w:t>, or can we</w:t>
      </w:r>
      <w:r w:rsidR="008A48F2">
        <w:t>, where necessary,</w:t>
      </w:r>
      <w:r w:rsidR="00F85359">
        <w:t xml:space="preserve"> explain in the </w:t>
      </w:r>
      <w:r w:rsidR="00B87F28">
        <w:t>Handbook</w:t>
      </w:r>
      <w:r w:rsidR="00F85359">
        <w:t xml:space="preserve"> regarding </w:t>
      </w:r>
      <w:r w:rsidR="008A48F2">
        <w:t>the</w:t>
      </w:r>
      <w:r w:rsidR="00F85359">
        <w:t xml:space="preserve"> committee</w:t>
      </w:r>
      <w:r w:rsidR="00B87F28">
        <w:t>, and/or on the committee’s webpage</w:t>
      </w:r>
      <w:r w:rsidR="00F85359">
        <w:t>?</w:t>
      </w:r>
      <w:r w:rsidR="00275E48">
        <w:t xml:space="preserve"> </w:t>
      </w:r>
      <w:r w:rsidR="00360561">
        <w:t xml:space="preserve"> </w:t>
      </w:r>
      <w:r w:rsidR="00275E48">
        <w:t xml:space="preserve">We agree this information is important, especially for the AYM Nominations Committee. </w:t>
      </w:r>
      <w:r w:rsidR="00B87F28">
        <w:t>(</w:t>
      </w:r>
      <w:r w:rsidR="00275E48">
        <w:t>It</w:t>
      </w:r>
      <w:r>
        <w:t xml:space="preserve"> i</w:t>
      </w:r>
      <w:r w:rsidR="00275E48">
        <w:t>s possible hosted committees will become rarer as we move increasingly online.</w:t>
      </w:r>
      <w:r w:rsidR="00B87F28">
        <w:t>)</w:t>
      </w:r>
    </w:p>
    <w:p w14:paraId="6954A7A9" w14:textId="77777777" w:rsidR="00F85359" w:rsidRPr="00610A3F" w:rsidRDefault="00F85359" w:rsidP="00B71ED1">
      <w:pPr>
        <w:rPr>
          <w:sz w:val="10"/>
        </w:rPr>
      </w:pPr>
    </w:p>
    <w:p w14:paraId="6FB0FE85" w14:textId="0FD76414" w:rsidR="00092CFF" w:rsidRDefault="00092CFF" w:rsidP="00B71ED1">
      <w:r>
        <w:t>We agree to leave this matter with the Handbook Revision Committee</w:t>
      </w:r>
      <w:r w:rsidR="00F85359">
        <w:t>.</w:t>
      </w:r>
    </w:p>
    <w:p w14:paraId="7D81EBE3" w14:textId="77777777" w:rsidR="009576F5" w:rsidRPr="009576F5" w:rsidRDefault="009576F5" w:rsidP="009576F5">
      <w:pPr>
        <w:rPr>
          <w:color w:val="000000" w:themeColor="text1"/>
          <w:sz w:val="10"/>
          <w:szCs w:val="10"/>
        </w:rPr>
      </w:pPr>
    </w:p>
    <w:p w14:paraId="36A3FE30" w14:textId="77777777" w:rsidR="00B358C0" w:rsidRDefault="00092CFF" w:rsidP="00B71ED1">
      <w:r>
        <w:t xml:space="preserve">4. </w:t>
      </w:r>
      <w:r w:rsidR="00B358C0">
        <w:t xml:space="preserve">We note that all </w:t>
      </w:r>
      <w:r w:rsidR="00A952E8">
        <w:t>R</w:t>
      </w:r>
      <w:r w:rsidR="00B358C0">
        <w:t xml:space="preserve">egional </w:t>
      </w:r>
      <w:r w:rsidR="00A952E8">
        <w:t>M</w:t>
      </w:r>
      <w:r w:rsidR="00B358C0">
        <w:t>eetings were in unity in accepting the Committee’s proposed changes for sections</w:t>
      </w:r>
      <w:r w:rsidR="00A952E8">
        <w:t>:</w:t>
      </w:r>
    </w:p>
    <w:p w14:paraId="4C5B4C55" w14:textId="3CB6DC49" w:rsidR="00B358C0" w:rsidRPr="0085623C" w:rsidRDefault="00B358C0" w:rsidP="00B71ED1">
      <w:pPr>
        <w:pStyle w:val="ListParagraph"/>
        <w:numPr>
          <w:ilvl w:val="0"/>
          <w:numId w:val="4"/>
        </w:numPr>
        <w:rPr>
          <w:b/>
          <w:bCs/>
        </w:rPr>
      </w:pPr>
      <w:r w:rsidRPr="0085623C">
        <w:rPr>
          <w:b/>
          <w:bCs/>
        </w:rPr>
        <w:t>4.5</w:t>
      </w:r>
      <w:r w:rsidR="0085623C">
        <w:rPr>
          <w:b/>
          <w:bCs/>
        </w:rPr>
        <w:t xml:space="preserve"> </w:t>
      </w:r>
      <w:r w:rsidRPr="0085623C">
        <w:rPr>
          <w:b/>
          <w:bCs/>
        </w:rPr>
        <w:t xml:space="preserve"> Sojourners</w:t>
      </w:r>
    </w:p>
    <w:p w14:paraId="658C2B00" w14:textId="4E2DB8D5" w:rsidR="00B358C0" w:rsidRPr="0085623C" w:rsidRDefault="00B358C0" w:rsidP="00B71ED1">
      <w:pPr>
        <w:pStyle w:val="ListParagraph"/>
        <w:numPr>
          <w:ilvl w:val="0"/>
          <w:numId w:val="4"/>
        </w:numPr>
        <w:rPr>
          <w:b/>
          <w:bCs/>
        </w:rPr>
      </w:pPr>
      <w:r w:rsidRPr="0085623C">
        <w:rPr>
          <w:b/>
          <w:bCs/>
        </w:rPr>
        <w:t xml:space="preserve">5.2.7 </w:t>
      </w:r>
      <w:r w:rsidR="0085623C">
        <w:rPr>
          <w:b/>
          <w:bCs/>
        </w:rPr>
        <w:t xml:space="preserve"> </w:t>
      </w:r>
      <w:r w:rsidRPr="0085623C">
        <w:rPr>
          <w:b/>
          <w:bCs/>
        </w:rPr>
        <w:t>AYM Archivist</w:t>
      </w:r>
    </w:p>
    <w:p w14:paraId="4D5A7BD6" w14:textId="77777777" w:rsidR="00A952E8" w:rsidRPr="00610A3F" w:rsidRDefault="00A952E8" w:rsidP="00B71ED1">
      <w:pPr>
        <w:rPr>
          <w:sz w:val="10"/>
        </w:rPr>
      </w:pPr>
    </w:p>
    <w:p w14:paraId="234D9C9B" w14:textId="77777777" w:rsidR="00B358C0" w:rsidRDefault="00B358C0" w:rsidP="00B71ED1">
      <w:r>
        <w:t xml:space="preserve">We </w:t>
      </w:r>
      <w:r w:rsidR="00F52028">
        <w:t>accept these changes</w:t>
      </w:r>
      <w:r w:rsidR="00B052B2">
        <w:t xml:space="preserve"> and recommend them to YM22</w:t>
      </w:r>
      <w:r>
        <w:t>.</w:t>
      </w:r>
      <w:r w:rsidR="00B052B2">
        <w:t xml:space="preserve"> We believe that all changes to the Handbook need to be approved by Y</w:t>
      </w:r>
      <w:r w:rsidR="00B9513A">
        <w:t xml:space="preserve">early </w:t>
      </w:r>
      <w:r w:rsidR="00B052B2">
        <w:t>M</w:t>
      </w:r>
      <w:r w:rsidR="00B9513A">
        <w:t>eeting (with the exception of minor factual changes, as previously approved by YM)</w:t>
      </w:r>
      <w:r w:rsidR="00B052B2">
        <w:t>.</w:t>
      </w:r>
    </w:p>
    <w:p w14:paraId="737DB44E" w14:textId="77777777" w:rsidR="00B052B2" w:rsidRPr="00610A3F" w:rsidRDefault="00B052B2" w:rsidP="00B71ED1">
      <w:pPr>
        <w:rPr>
          <w:sz w:val="12"/>
        </w:rPr>
      </w:pPr>
    </w:p>
    <w:p w14:paraId="387B17E9" w14:textId="77777777" w:rsidR="00B052B2" w:rsidRDefault="00B052B2" w:rsidP="00B71ED1">
      <w:r>
        <w:t xml:space="preserve">We hear that </w:t>
      </w:r>
      <w:r w:rsidR="00B9513A">
        <w:t xml:space="preserve">all </w:t>
      </w:r>
      <w:r>
        <w:t>changes to the Handbook Approvals Flowchart also need to be approved by YM.</w:t>
      </w:r>
    </w:p>
    <w:p w14:paraId="65511DFC" w14:textId="77777777" w:rsidR="00092CFF" w:rsidRPr="00610A3F" w:rsidRDefault="00092CFF" w:rsidP="00B71ED1">
      <w:pPr>
        <w:rPr>
          <w:sz w:val="12"/>
          <w:u w:val="single"/>
        </w:rPr>
      </w:pPr>
    </w:p>
    <w:p w14:paraId="73F82C4D" w14:textId="77777777" w:rsidR="00DB3D88" w:rsidRDefault="00092CFF" w:rsidP="00B71ED1">
      <w:r>
        <w:t xml:space="preserve">The meeting closed at </w:t>
      </w:r>
      <w:r w:rsidR="00B9513A">
        <w:t>5.30</w:t>
      </w:r>
      <w:r>
        <w:t xml:space="preserve"> </w:t>
      </w:r>
      <w:r w:rsidR="00A952E8">
        <w:t xml:space="preserve">pm </w:t>
      </w:r>
      <w:r>
        <w:t>with a period of worshipful silence.</w:t>
      </w:r>
    </w:p>
    <w:p w14:paraId="2B530312" w14:textId="77777777" w:rsidR="001326AC" w:rsidRDefault="001326AC" w:rsidP="00B71ED1"/>
    <w:p w14:paraId="44E88035" w14:textId="47155596" w:rsidR="001326AC" w:rsidRPr="00DC721E" w:rsidRDefault="001326AC" w:rsidP="00B71ED1">
      <w:r>
        <w:rPr>
          <w:b/>
          <w:bCs/>
        </w:rPr>
        <w:t xml:space="preserve">N.B. </w:t>
      </w:r>
      <w:r w:rsidR="000967B4">
        <w:rPr>
          <w:b/>
          <w:bCs/>
        </w:rPr>
        <w:t xml:space="preserve">In a meeting since this Preparatory session, the </w:t>
      </w:r>
      <w:r w:rsidR="00795B4F">
        <w:rPr>
          <w:b/>
          <w:bCs/>
        </w:rPr>
        <w:t xml:space="preserve">Handbook Revision Committee have opted to hold a Share and Tell </w:t>
      </w:r>
      <w:r w:rsidR="00F159C6">
        <w:rPr>
          <w:b/>
          <w:bCs/>
        </w:rPr>
        <w:t xml:space="preserve">about our work – focussing on the flowchart issues. </w:t>
      </w:r>
      <w:r w:rsidR="00DC721E">
        <w:t>Background material will be circulated shortly.</w:t>
      </w:r>
    </w:p>
    <w:sectPr w:rsidR="001326AC" w:rsidRPr="00DC721E" w:rsidSect="00B71E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2D66" w14:textId="77777777" w:rsidR="0054475A" w:rsidRDefault="0054475A" w:rsidP="00786881">
      <w:r>
        <w:separator/>
      </w:r>
    </w:p>
  </w:endnote>
  <w:endnote w:type="continuationSeparator" w:id="0">
    <w:p w14:paraId="63B52F34" w14:textId="77777777" w:rsidR="0054475A" w:rsidRDefault="0054475A" w:rsidP="0078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AF48" w14:textId="77777777" w:rsidR="0054475A" w:rsidRDefault="0054475A" w:rsidP="00786881">
      <w:r>
        <w:separator/>
      </w:r>
    </w:p>
  </w:footnote>
  <w:footnote w:type="continuationSeparator" w:id="0">
    <w:p w14:paraId="22610AC8" w14:textId="77777777" w:rsidR="0054475A" w:rsidRDefault="0054475A" w:rsidP="0078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1CF" w14:textId="03E7B615" w:rsidR="00A952E8" w:rsidRDefault="00A952E8">
    <w:pPr>
      <w:pStyle w:val="Header"/>
    </w:pPr>
    <w:r>
      <w:t>YM22</w:t>
    </w:r>
    <w:r w:rsidR="00DE72E4">
      <w:t xml:space="preserve">  </w:t>
    </w:r>
    <w:r w:rsidR="00DE72E4">
      <w:tab/>
    </w:r>
    <w:r>
      <w:t>Handbook Revision Committee Preparatory Session</w:t>
    </w:r>
    <w:r w:rsidR="00DE72E4">
      <w:tab/>
    </w:r>
    <w:r>
      <w:t>Minutes</w:t>
    </w:r>
    <w:r w:rsidR="00DE72E4">
      <w:t xml:space="preserve"> Page </w:t>
    </w:r>
    <w:r w:rsidR="006E7811">
      <w:fldChar w:fldCharType="begin"/>
    </w:r>
    <w:r w:rsidR="006E7811">
      <w:instrText xml:space="preserve"> PAGE   \* MERGEFORMAT </w:instrText>
    </w:r>
    <w:r w:rsidR="006E7811">
      <w:fldChar w:fldCharType="separate"/>
    </w:r>
    <w:r w:rsidR="006E7811">
      <w:rPr>
        <w:noProof/>
      </w:rPr>
      <w:t>1</w:t>
    </w:r>
    <w:r w:rsidR="006E7811">
      <w:rPr>
        <w:noProof/>
      </w:rPr>
      <w:fldChar w:fldCharType="end"/>
    </w:r>
  </w:p>
  <w:p w14:paraId="49A4807E" w14:textId="77777777" w:rsidR="00A952E8" w:rsidRDefault="00A95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DC8"/>
    <w:multiLevelType w:val="hybridMultilevel"/>
    <w:tmpl w:val="BF00D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5654"/>
    <w:multiLevelType w:val="hybridMultilevel"/>
    <w:tmpl w:val="58E6D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5666"/>
    <w:multiLevelType w:val="hybridMultilevel"/>
    <w:tmpl w:val="4B789296"/>
    <w:lvl w:ilvl="0" w:tplc="DA68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202C"/>
    <w:multiLevelType w:val="hybridMultilevel"/>
    <w:tmpl w:val="03B46ADE"/>
    <w:lvl w:ilvl="0" w:tplc="4D204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901227">
    <w:abstractNumId w:val="2"/>
  </w:num>
  <w:num w:numId="2" w16cid:durableId="821383869">
    <w:abstractNumId w:val="3"/>
  </w:num>
  <w:num w:numId="3" w16cid:durableId="242298435">
    <w:abstractNumId w:val="0"/>
  </w:num>
  <w:num w:numId="4" w16cid:durableId="88240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81"/>
    <w:rsid w:val="000126CD"/>
    <w:rsid w:val="0002323F"/>
    <w:rsid w:val="00025E39"/>
    <w:rsid w:val="000276FF"/>
    <w:rsid w:val="00065CC3"/>
    <w:rsid w:val="00092CFF"/>
    <w:rsid w:val="000967B4"/>
    <w:rsid w:val="000B655A"/>
    <w:rsid w:val="000D797F"/>
    <w:rsid w:val="001326AC"/>
    <w:rsid w:val="00135176"/>
    <w:rsid w:val="00161A88"/>
    <w:rsid w:val="00176BCB"/>
    <w:rsid w:val="001A7A81"/>
    <w:rsid w:val="001B6CD7"/>
    <w:rsid w:val="0021013D"/>
    <w:rsid w:val="002242D0"/>
    <w:rsid w:val="002516AD"/>
    <w:rsid w:val="0025504C"/>
    <w:rsid w:val="002731EB"/>
    <w:rsid w:val="00275E48"/>
    <w:rsid w:val="002B7163"/>
    <w:rsid w:val="002C2175"/>
    <w:rsid w:val="002D5596"/>
    <w:rsid w:val="003128FD"/>
    <w:rsid w:val="0031385E"/>
    <w:rsid w:val="00320D91"/>
    <w:rsid w:val="00360561"/>
    <w:rsid w:val="003644DB"/>
    <w:rsid w:val="003B6471"/>
    <w:rsid w:val="004153F9"/>
    <w:rsid w:val="004471A2"/>
    <w:rsid w:val="0045603B"/>
    <w:rsid w:val="0054475A"/>
    <w:rsid w:val="005639F2"/>
    <w:rsid w:val="00591860"/>
    <w:rsid w:val="005A0956"/>
    <w:rsid w:val="005F4561"/>
    <w:rsid w:val="00610A3F"/>
    <w:rsid w:val="00615108"/>
    <w:rsid w:val="0063134B"/>
    <w:rsid w:val="00677F8F"/>
    <w:rsid w:val="006B5026"/>
    <w:rsid w:val="006C7817"/>
    <w:rsid w:val="006E7811"/>
    <w:rsid w:val="00764EDA"/>
    <w:rsid w:val="00766510"/>
    <w:rsid w:val="00786881"/>
    <w:rsid w:val="00795B4F"/>
    <w:rsid w:val="0079676F"/>
    <w:rsid w:val="007D153D"/>
    <w:rsid w:val="0085623C"/>
    <w:rsid w:val="008A48F2"/>
    <w:rsid w:val="009102EA"/>
    <w:rsid w:val="009113C5"/>
    <w:rsid w:val="009502C8"/>
    <w:rsid w:val="009576F5"/>
    <w:rsid w:val="009A5F7D"/>
    <w:rsid w:val="009F6F79"/>
    <w:rsid w:val="00A6758B"/>
    <w:rsid w:val="00A81131"/>
    <w:rsid w:val="00A952E8"/>
    <w:rsid w:val="00A963DC"/>
    <w:rsid w:val="00AD3FFD"/>
    <w:rsid w:val="00B052B2"/>
    <w:rsid w:val="00B2503E"/>
    <w:rsid w:val="00B358C0"/>
    <w:rsid w:val="00B60B92"/>
    <w:rsid w:val="00B70FF8"/>
    <w:rsid w:val="00B71ED1"/>
    <w:rsid w:val="00B87F28"/>
    <w:rsid w:val="00B9513A"/>
    <w:rsid w:val="00B9571A"/>
    <w:rsid w:val="00B97F64"/>
    <w:rsid w:val="00BA2415"/>
    <w:rsid w:val="00BD2963"/>
    <w:rsid w:val="00BF382D"/>
    <w:rsid w:val="00C061FB"/>
    <w:rsid w:val="00C22706"/>
    <w:rsid w:val="00C32E8D"/>
    <w:rsid w:val="00C95936"/>
    <w:rsid w:val="00CB18F4"/>
    <w:rsid w:val="00CB5767"/>
    <w:rsid w:val="00CE6ED1"/>
    <w:rsid w:val="00D53247"/>
    <w:rsid w:val="00D9569F"/>
    <w:rsid w:val="00DB3D88"/>
    <w:rsid w:val="00DC721E"/>
    <w:rsid w:val="00DE72E4"/>
    <w:rsid w:val="00E13CDC"/>
    <w:rsid w:val="00E211D0"/>
    <w:rsid w:val="00E4597B"/>
    <w:rsid w:val="00EE42DF"/>
    <w:rsid w:val="00EF2FFA"/>
    <w:rsid w:val="00F159C6"/>
    <w:rsid w:val="00F52028"/>
    <w:rsid w:val="00F60808"/>
    <w:rsid w:val="00F821D5"/>
    <w:rsid w:val="00F8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E34AC"/>
  <w15:docId w15:val="{796AF01D-DD2C-45ED-9AAA-4E98A9EC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881"/>
  </w:style>
  <w:style w:type="paragraph" w:styleId="Footer">
    <w:name w:val="footer"/>
    <w:basedOn w:val="Normal"/>
    <w:link w:val="FooterChar"/>
    <w:uiPriority w:val="99"/>
    <w:unhideWhenUsed/>
    <w:rsid w:val="00786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81"/>
  </w:style>
  <w:style w:type="character" w:styleId="Emphasis">
    <w:name w:val="Emphasis"/>
    <w:basedOn w:val="DefaultParagraphFont"/>
    <w:uiPriority w:val="20"/>
    <w:qFormat/>
    <w:rsid w:val="00786881"/>
    <w:rPr>
      <w:i/>
      <w:iCs/>
    </w:rPr>
  </w:style>
  <w:style w:type="paragraph" w:styleId="ListParagraph">
    <w:name w:val="List Paragraph"/>
    <w:basedOn w:val="Normal"/>
    <w:uiPriority w:val="34"/>
    <w:qFormat/>
    <w:rsid w:val="00CB5767"/>
    <w:pPr>
      <w:ind w:left="720"/>
      <w:contextualSpacing/>
    </w:pPr>
  </w:style>
  <w:style w:type="paragraph" w:styleId="Revision">
    <w:name w:val="Revision"/>
    <w:hidden/>
    <w:uiPriority w:val="99"/>
    <w:semiHidden/>
    <w:rsid w:val="002731EB"/>
  </w:style>
  <w:style w:type="character" w:styleId="CommentReference">
    <w:name w:val="annotation reference"/>
    <w:basedOn w:val="DefaultParagraphFont"/>
    <w:uiPriority w:val="99"/>
    <w:semiHidden/>
    <w:unhideWhenUsed/>
    <w:rsid w:val="00273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3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F9"/>
    <w:rPr>
      <w:rFonts w:ascii="Lucida Grande" w:hAnsi="Lucida Grande"/>
      <w:sz w:val="18"/>
      <w:szCs w:val="18"/>
    </w:rPr>
  </w:style>
  <w:style w:type="character" w:customStyle="1" w:styleId="markedcontent">
    <w:name w:val="markedcontent"/>
    <w:basedOn w:val="DefaultParagraphFont"/>
    <w:rsid w:val="0017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Jones</dc:creator>
  <cp:keywords/>
  <dc:description/>
  <cp:lastModifiedBy>Julie - Robin WALPOLE</cp:lastModifiedBy>
  <cp:revision>5</cp:revision>
  <dcterms:created xsi:type="dcterms:W3CDTF">2022-05-22T05:42:00Z</dcterms:created>
  <dcterms:modified xsi:type="dcterms:W3CDTF">2022-05-22T05:44:00Z</dcterms:modified>
</cp:coreProperties>
</file>