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F3" w:rsidRDefault="007477F3" w:rsidP="009A0B5C">
      <w:pPr>
        <w:jc w:val="center"/>
        <w:rPr>
          <w:b/>
          <w:sz w:val="24"/>
          <w:szCs w:val="24"/>
        </w:rPr>
      </w:pPr>
      <w:r w:rsidRPr="00A03CE0">
        <w:rPr>
          <w:b/>
          <w:sz w:val="24"/>
          <w:szCs w:val="24"/>
        </w:rPr>
        <w:t xml:space="preserve">Treasurer's report to </w:t>
      </w:r>
      <w:r w:rsidR="00D961E8">
        <w:rPr>
          <w:b/>
          <w:sz w:val="24"/>
          <w:szCs w:val="24"/>
        </w:rPr>
        <w:t>t</w:t>
      </w:r>
      <w:r w:rsidR="00B6731E">
        <w:rPr>
          <w:b/>
          <w:sz w:val="24"/>
          <w:szCs w:val="24"/>
        </w:rPr>
        <w:t>he Annual General</w:t>
      </w:r>
      <w:r w:rsidR="00D17134" w:rsidRPr="00A03CE0">
        <w:rPr>
          <w:b/>
          <w:sz w:val="24"/>
          <w:szCs w:val="24"/>
        </w:rPr>
        <w:t xml:space="preserve"> Meeting </w:t>
      </w:r>
      <w:r w:rsidRPr="00A03CE0">
        <w:rPr>
          <w:b/>
          <w:sz w:val="24"/>
          <w:szCs w:val="24"/>
        </w:rPr>
        <w:t>20</w:t>
      </w:r>
      <w:r w:rsidR="00C63D53">
        <w:rPr>
          <w:b/>
          <w:sz w:val="24"/>
          <w:szCs w:val="24"/>
        </w:rPr>
        <w:t>20</w:t>
      </w:r>
    </w:p>
    <w:p w:rsidR="00C63D53" w:rsidRPr="005A5F29" w:rsidRDefault="00C63D53" w:rsidP="00C63D53">
      <w:pPr>
        <w:tabs>
          <w:tab w:val="right" w:pos="9498"/>
        </w:tabs>
        <w:rPr>
          <w:rFonts w:cs="Arial"/>
          <w:szCs w:val="22"/>
        </w:rPr>
      </w:pPr>
      <w:r w:rsidRPr="002C3404">
        <w:rPr>
          <w:rFonts w:cs="Arial"/>
          <w:i/>
          <w:szCs w:val="22"/>
        </w:rPr>
        <w:t>The highest use of capital is not to make more money, but to make money do more for the betterment of life</w:t>
      </w:r>
      <w:r w:rsidRPr="005A5F29">
        <w:rPr>
          <w:rFonts w:cs="Arial"/>
          <w:szCs w:val="22"/>
        </w:rPr>
        <w:t>.</w:t>
      </w:r>
      <w:r>
        <w:rPr>
          <w:rFonts w:cs="Arial"/>
          <w:szCs w:val="22"/>
        </w:rPr>
        <w:tab/>
        <w:t>(</w:t>
      </w:r>
      <w:r w:rsidRPr="005A5F29">
        <w:rPr>
          <w:rFonts w:cs="Arial"/>
          <w:szCs w:val="22"/>
        </w:rPr>
        <w:t xml:space="preserve">Henry </w:t>
      </w:r>
      <w:proofErr w:type="gramStart"/>
      <w:r w:rsidRPr="005A5F29">
        <w:rPr>
          <w:rFonts w:cs="Arial"/>
          <w:szCs w:val="22"/>
        </w:rPr>
        <w:t>Ford</w:t>
      </w:r>
      <w:r>
        <w:rPr>
          <w:rFonts w:cs="Arial"/>
          <w:szCs w:val="22"/>
        </w:rPr>
        <w:t xml:space="preserve"> )</w:t>
      </w:r>
      <w:proofErr w:type="gramEnd"/>
    </w:p>
    <w:p w:rsidR="001C559A" w:rsidRDefault="001C559A" w:rsidP="00B6150B">
      <w:pPr>
        <w:rPr>
          <w:sz w:val="20"/>
        </w:rPr>
      </w:pPr>
      <w:r>
        <w:rPr>
          <w:sz w:val="20"/>
        </w:rPr>
        <w:t>The 201</w:t>
      </w:r>
      <w:r w:rsidR="00DC2FD1">
        <w:rPr>
          <w:sz w:val="20"/>
        </w:rPr>
        <w:t>8</w:t>
      </w:r>
      <w:r w:rsidR="00C63D53">
        <w:rPr>
          <w:sz w:val="20"/>
        </w:rPr>
        <w:t>/19</w:t>
      </w:r>
      <w:r>
        <w:rPr>
          <w:sz w:val="20"/>
        </w:rPr>
        <w:t xml:space="preserve"> </w:t>
      </w:r>
      <w:r w:rsidR="002A5D35">
        <w:rPr>
          <w:sz w:val="20"/>
        </w:rPr>
        <w:t xml:space="preserve">financial year </w:t>
      </w:r>
      <w:r w:rsidR="00E968B6">
        <w:rPr>
          <w:sz w:val="20"/>
        </w:rPr>
        <w:t>was more straightforward than the previous couple of years</w:t>
      </w:r>
      <w:r w:rsidR="00B03E05">
        <w:rPr>
          <w:sz w:val="20"/>
        </w:rPr>
        <w:t xml:space="preserve"> as t</w:t>
      </w:r>
      <w:r w:rsidR="00E968B6">
        <w:rPr>
          <w:sz w:val="20"/>
        </w:rPr>
        <w:t>he AYM Secretary is now settled into an office at her home</w:t>
      </w:r>
      <w:bookmarkStart w:id="0" w:name="_GoBack"/>
      <w:bookmarkEnd w:id="0"/>
      <w:r w:rsidR="00E968B6">
        <w:rPr>
          <w:sz w:val="20"/>
        </w:rPr>
        <w:t>.</w:t>
      </w:r>
    </w:p>
    <w:p w:rsidR="00E968B6" w:rsidRDefault="00E968B6" w:rsidP="00B6150B">
      <w:pPr>
        <w:rPr>
          <w:sz w:val="20"/>
        </w:rPr>
      </w:pPr>
      <w:r>
        <w:rPr>
          <w:sz w:val="20"/>
        </w:rPr>
        <w:t>Attached to this report is an extract from the draft Accounts for the year. The Audited Accounts will be available at the AGM and I can send a copy to anyone who is interested.</w:t>
      </w:r>
    </w:p>
    <w:p w:rsidR="00DC2FD1" w:rsidRDefault="00E968B6" w:rsidP="00B6150B">
      <w:pPr>
        <w:rPr>
          <w:sz w:val="20"/>
        </w:rPr>
      </w:pPr>
      <w:r>
        <w:rPr>
          <w:sz w:val="20"/>
        </w:rPr>
        <w:t xml:space="preserve">The principle financial </w:t>
      </w:r>
      <w:r w:rsidR="00DC2FD1">
        <w:rPr>
          <w:sz w:val="20"/>
        </w:rPr>
        <w:t xml:space="preserve">issues </w:t>
      </w:r>
      <w:r>
        <w:rPr>
          <w:sz w:val="20"/>
        </w:rPr>
        <w:t>were as follows:</w:t>
      </w:r>
    </w:p>
    <w:p w:rsidR="00262485" w:rsidRDefault="00E968B6" w:rsidP="003B2F44">
      <w:pPr>
        <w:numPr>
          <w:ilvl w:val="0"/>
          <w:numId w:val="7"/>
        </w:numPr>
        <w:ind w:left="567" w:hanging="567"/>
        <w:rPr>
          <w:sz w:val="20"/>
        </w:rPr>
      </w:pPr>
      <w:r w:rsidRPr="00E968B6">
        <w:rPr>
          <w:b/>
          <w:sz w:val="20"/>
        </w:rPr>
        <w:t>Surplus Funds</w:t>
      </w:r>
      <w:r>
        <w:rPr>
          <w:sz w:val="20"/>
        </w:rPr>
        <w:t xml:space="preserve"> </w:t>
      </w:r>
      <w:r w:rsidR="002A5D35">
        <w:rPr>
          <w:sz w:val="20"/>
        </w:rPr>
        <w:t>Following</w:t>
      </w:r>
      <w:r>
        <w:rPr>
          <w:sz w:val="20"/>
        </w:rPr>
        <w:t xml:space="preserve"> a recommendation from the Finance Committee, Standing Committee in January 2019 agreed that </w:t>
      </w:r>
      <w:r w:rsidR="002A5D35">
        <w:rPr>
          <w:sz w:val="20"/>
        </w:rPr>
        <w:t>Surplus F</w:t>
      </w:r>
      <w:r w:rsidR="00262485">
        <w:rPr>
          <w:sz w:val="20"/>
        </w:rPr>
        <w:t>unds of $100,000</w:t>
      </w:r>
      <w:r w:rsidR="002A5D35">
        <w:rPr>
          <w:sz w:val="20"/>
        </w:rPr>
        <w:t xml:space="preserve"> from our Reserve Fund</w:t>
      </w:r>
      <w:r w:rsidR="00262485">
        <w:rPr>
          <w:sz w:val="20"/>
        </w:rPr>
        <w:t xml:space="preserve"> were not needed and could be distributed for other purposes.</w:t>
      </w:r>
    </w:p>
    <w:p w:rsidR="00E968B6" w:rsidRDefault="00262485" w:rsidP="00262485">
      <w:pPr>
        <w:ind w:left="567"/>
        <w:rPr>
          <w:sz w:val="20"/>
        </w:rPr>
      </w:pPr>
      <w:r>
        <w:rPr>
          <w:sz w:val="20"/>
        </w:rPr>
        <w:t xml:space="preserve">At the July 2019 meeting Standing Committee agreed that $20,000 of this surplus be allocated to the Publications Fund which was </w:t>
      </w:r>
      <w:r w:rsidR="002A5D35">
        <w:rPr>
          <w:sz w:val="20"/>
        </w:rPr>
        <w:t xml:space="preserve">then </w:t>
      </w:r>
      <w:r>
        <w:rPr>
          <w:sz w:val="20"/>
        </w:rPr>
        <w:t xml:space="preserve">in deficit. The deficit was largely due to spending on the new websites and on two publications in the year which </w:t>
      </w:r>
      <w:r w:rsidR="005737F5">
        <w:rPr>
          <w:sz w:val="20"/>
        </w:rPr>
        <w:t xml:space="preserve">were not allowed for in the budget and </w:t>
      </w:r>
      <w:r>
        <w:rPr>
          <w:sz w:val="20"/>
        </w:rPr>
        <w:t>had not recouped their costs.</w:t>
      </w:r>
    </w:p>
    <w:p w:rsidR="00262485" w:rsidRPr="00E968B6" w:rsidRDefault="00262485" w:rsidP="00262485">
      <w:pPr>
        <w:ind w:left="567"/>
        <w:rPr>
          <w:sz w:val="20"/>
        </w:rPr>
      </w:pPr>
      <w:r>
        <w:rPr>
          <w:sz w:val="20"/>
        </w:rPr>
        <w:t>Standing Committee has asked Regional Meetings to consider suggestions for the distribution of the remaining $80,000</w:t>
      </w:r>
      <w:r w:rsidR="00C80B4A">
        <w:rPr>
          <w:sz w:val="20"/>
        </w:rPr>
        <w:t xml:space="preserve"> of the Surplus Funds</w:t>
      </w:r>
      <w:r>
        <w:rPr>
          <w:sz w:val="20"/>
        </w:rPr>
        <w:t>.</w:t>
      </w:r>
    </w:p>
    <w:p w:rsidR="00184DAD" w:rsidRDefault="003B2F44" w:rsidP="003B2F44">
      <w:pPr>
        <w:numPr>
          <w:ilvl w:val="0"/>
          <w:numId w:val="7"/>
        </w:numPr>
        <w:ind w:left="567" w:hanging="567"/>
        <w:rPr>
          <w:sz w:val="20"/>
        </w:rPr>
      </w:pPr>
      <w:r w:rsidRPr="003B2F44">
        <w:rPr>
          <w:b/>
          <w:sz w:val="20"/>
        </w:rPr>
        <w:t>General Fund</w:t>
      </w:r>
      <w:r>
        <w:rPr>
          <w:sz w:val="20"/>
        </w:rPr>
        <w:t xml:space="preserve"> </w:t>
      </w:r>
      <w:proofErr w:type="gramStart"/>
      <w:r w:rsidR="0040196A" w:rsidRPr="0040196A">
        <w:rPr>
          <w:sz w:val="20"/>
        </w:rPr>
        <w:t>The</w:t>
      </w:r>
      <w:proofErr w:type="gramEnd"/>
      <w:r w:rsidR="0040196A" w:rsidRPr="0040196A">
        <w:rPr>
          <w:sz w:val="20"/>
        </w:rPr>
        <w:t xml:space="preserve"> General </w:t>
      </w:r>
      <w:r w:rsidR="0040196A">
        <w:rPr>
          <w:sz w:val="20"/>
        </w:rPr>
        <w:t xml:space="preserve">Fund shows </w:t>
      </w:r>
      <w:r w:rsidR="003A49A6">
        <w:rPr>
          <w:sz w:val="20"/>
        </w:rPr>
        <w:t>an excess of income over expenditure of $</w:t>
      </w:r>
      <w:r w:rsidR="00E968B6">
        <w:rPr>
          <w:sz w:val="20"/>
        </w:rPr>
        <w:t>4,337</w:t>
      </w:r>
      <w:r w:rsidR="00DC2FD1">
        <w:rPr>
          <w:sz w:val="20"/>
        </w:rPr>
        <w:t xml:space="preserve"> in the year</w:t>
      </w:r>
      <w:r w:rsidR="00E968B6">
        <w:rPr>
          <w:sz w:val="20"/>
        </w:rPr>
        <w:t>. This was due to a number of small savings, offset by slightly higher office expenses.</w:t>
      </w:r>
    </w:p>
    <w:p w:rsidR="0040196A" w:rsidRDefault="00262485" w:rsidP="00184DAD">
      <w:pPr>
        <w:ind w:left="567"/>
        <w:rPr>
          <w:sz w:val="20"/>
        </w:rPr>
      </w:pPr>
      <w:r>
        <w:rPr>
          <w:sz w:val="20"/>
        </w:rPr>
        <w:t xml:space="preserve">Standing Committee held a special online meeting at the end of August to finalise the budget </w:t>
      </w:r>
      <w:r w:rsidR="002A5D35">
        <w:rPr>
          <w:sz w:val="20"/>
        </w:rPr>
        <w:t xml:space="preserve">for 2019/20 </w:t>
      </w:r>
      <w:r>
        <w:rPr>
          <w:sz w:val="20"/>
        </w:rPr>
        <w:t>so that more accurate information was available for that purpose</w:t>
      </w:r>
      <w:r w:rsidR="00E60FF7">
        <w:rPr>
          <w:sz w:val="20"/>
        </w:rPr>
        <w:t>.</w:t>
      </w:r>
      <w:r w:rsidR="00631676">
        <w:rPr>
          <w:sz w:val="20"/>
        </w:rPr>
        <w:t xml:space="preserve"> </w:t>
      </w:r>
      <w:r>
        <w:rPr>
          <w:sz w:val="20"/>
        </w:rPr>
        <w:t xml:space="preserve">The allocation of $20,000 to the Publications Fund mentioned above meant that there was a much smaller allocation required from the budget for that Fund. However, there was a much larger requirement for the Travel Fund and inflation generally continues to affect our expenditure. </w:t>
      </w:r>
      <w:r w:rsidR="00631676">
        <w:rPr>
          <w:sz w:val="20"/>
        </w:rPr>
        <w:t xml:space="preserve">The overall Quotas </w:t>
      </w:r>
      <w:r w:rsidR="000E7967">
        <w:rPr>
          <w:sz w:val="20"/>
        </w:rPr>
        <w:t>ha</w:t>
      </w:r>
      <w:r w:rsidR="00F851BF">
        <w:rPr>
          <w:sz w:val="20"/>
        </w:rPr>
        <w:t>ve</w:t>
      </w:r>
      <w:r w:rsidR="00631676">
        <w:rPr>
          <w:sz w:val="20"/>
        </w:rPr>
        <w:t xml:space="preserve"> </w:t>
      </w:r>
      <w:r>
        <w:rPr>
          <w:sz w:val="20"/>
        </w:rPr>
        <w:t xml:space="preserve">therefor </w:t>
      </w:r>
      <w:r w:rsidR="00631676">
        <w:rPr>
          <w:sz w:val="20"/>
        </w:rPr>
        <w:t>increase</w:t>
      </w:r>
      <w:r w:rsidR="000E7967">
        <w:rPr>
          <w:sz w:val="20"/>
        </w:rPr>
        <w:t>d</w:t>
      </w:r>
      <w:r w:rsidR="00631676">
        <w:rPr>
          <w:sz w:val="20"/>
        </w:rPr>
        <w:t xml:space="preserve"> by </w:t>
      </w:r>
      <w:r>
        <w:rPr>
          <w:sz w:val="20"/>
        </w:rPr>
        <w:t>nearly</w:t>
      </w:r>
      <w:r w:rsidR="00F851BF">
        <w:rPr>
          <w:sz w:val="20"/>
        </w:rPr>
        <w:t xml:space="preserve"> </w:t>
      </w:r>
      <w:r>
        <w:rPr>
          <w:sz w:val="20"/>
        </w:rPr>
        <w:t>4</w:t>
      </w:r>
      <w:r w:rsidR="00631676">
        <w:rPr>
          <w:sz w:val="20"/>
        </w:rPr>
        <w:t>%</w:t>
      </w:r>
      <w:r w:rsidR="002A5D35">
        <w:rPr>
          <w:sz w:val="20"/>
        </w:rPr>
        <w:t xml:space="preserve"> for the coming year</w:t>
      </w:r>
      <w:r w:rsidR="00631676">
        <w:rPr>
          <w:sz w:val="20"/>
        </w:rPr>
        <w:t>.</w:t>
      </w:r>
    </w:p>
    <w:p w:rsidR="00F80A20" w:rsidRPr="006D096C" w:rsidRDefault="00791DF5" w:rsidP="0040196A">
      <w:pPr>
        <w:numPr>
          <w:ilvl w:val="0"/>
          <w:numId w:val="7"/>
        </w:numPr>
        <w:ind w:left="567" w:hanging="567"/>
        <w:rPr>
          <w:sz w:val="20"/>
        </w:rPr>
      </w:pPr>
      <w:r w:rsidRPr="006D096C">
        <w:rPr>
          <w:b/>
          <w:sz w:val="20"/>
        </w:rPr>
        <w:t>Other Funds</w:t>
      </w:r>
      <w:r w:rsidRPr="006D096C">
        <w:rPr>
          <w:sz w:val="20"/>
        </w:rPr>
        <w:t xml:space="preserve"> </w:t>
      </w:r>
      <w:proofErr w:type="gramStart"/>
      <w:r w:rsidR="006D096C">
        <w:rPr>
          <w:sz w:val="20"/>
        </w:rPr>
        <w:t>T</w:t>
      </w:r>
      <w:r w:rsidR="002A5D35">
        <w:rPr>
          <w:sz w:val="20"/>
        </w:rPr>
        <w:t>he</w:t>
      </w:r>
      <w:proofErr w:type="gramEnd"/>
      <w:r w:rsidR="002A5D35">
        <w:rPr>
          <w:sz w:val="20"/>
        </w:rPr>
        <w:t xml:space="preserve"> Yearly Meeting in July </w:t>
      </w:r>
      <w:r w:rsidRPr="006D096C">
        <w:rPr>
          <w:sz w:val="20"/>
        </w:rPr>
        <w:t xml:space="preserve">made a </w:t>
      </w:r>
      <w:r w:rsidR="00631676" w:rsidRPr="006D096C">
        <w:rPr>
          <w:sz w:val="20"/>
        </w:rPr>
        <w:t xml:space="preserve">small </w:t>
      </w:r>
      <w:r w:rsidRPr="006D096C">
        <w:rPr>
          <w:sz w:val="20"/>
        </w:rPr>
        <w:t xml:space="preserve">surplus </w:t>
      </w:r>
      <w:r w:rsidR="00827D7D">
        <w:rPr>
          <w:sz w:val="20"/>
        </w:rPr>
        <w:t xml:space="preserve">and the </w:t>
      </w:r>
      <w:r w:rsidR="002A5D35" w:rsidRPr="006D096C">
        <w:rPr>
          <w:sz w:val="20"/>
        </w:rPr>
        <w:t xml:space="preserve">Annual Meeting </w:t>
      </w:r>
      <w:r w:rsidR="00827D7D">
        <w:rPr>
          <w:sz w:val="20"/>
        </w:rPr>
        <w:t>Fund is now in a good condition</w:t>
      </w:r>
      <w:r w:rsidR="00F80A20" w:rsidRPr="006D096C">
        <w:rPr>
          <w:sz w:val="20"/>
        </w:rPr>
        <w:t>.</w:t>
      </w:r>
    </w:p>
    <w:p w:rsidR="002A5D35" w:rsidRDefault="00DF1414" w:rsidP="00F80A20">
      <w:pPr>
        <w:ind w:left="567"/>
        <w:rPr>
          <w:sz w:val="20"/>
        </w:rPr>
      </w:pPr>
      <w:r>
        <w:rPr>
          <w:sz w:val="20"/>
        </w:rPr>
        <w:t>With the finalisation of the extensive renovations to</w:t>
      </w:r>
      <w:r w:rsidR="00ED76E0">
        <w:rPr>
          <w:sz w:val="20"/>
        </w:rPr>
        <w:t xml:space="preserve"> the Sanctuary </w:t>
      </w:r>
      <w:r>
        <w:rPr>
          <w:sz w:val="20"/>
        </w:rPr>
        <w:t xml:space="preserve">the </w:t>
      </w:r>
      <w:r w:rsidR="00ED76E0">
        <w:rPr>
          <w:sz w:val="20"/>
        </w:rPr>
        <w:t xml:space="preserve">Management Fund </w:t>
      </w:r>
      <w:r w:rsidR="00827D7D">
        <w:rPr>
          <w:sz w:val="20"/>
        </w:rPr>
        <w:t>has</w:t>
      </w:r>
      <w:r>
        <w:rPr>
          <w:sz w:val="20"/>
        </w:rPr>
        <w:t xml:space="preserve"> now recover</w:t>
      </w:r>
      <w:r w:rsidR="00827D7D">
        <w:rPr>
          <w:sz w:val="20"/>
        </w:rPr>
        <w:t>ed to over $40,000</w:t>
      </w:r>
      <w:r>
        <w:rPr>
          <w:sz w:val="20"/>
        </w:rPr>
        <w:t>.</w:t>
      </w:r>
    </w:p>
    <w:p w:rsidR="00791DF5" w:rsidRDefault="00827D7D" w:rsidP="00F80A20">
      <w:pPr>
        <w:ind w:left="567"/>
        <w:rPr>
          <w:sz w:val="20"/>
        </w:rPr>
      </w:pPr>
      <w:r>
        <w:rPr>
          <w:sz w:val="20"/>
        </w:rPr>
        <w:t xml:space="preserve">Substantial bequests were received by both the Peace and Social Justice Fund </w:t>
      </w:r>
      <w:r w:rsidR="00C80B4A">
        <w:rPr>
          <w:sz w:val="20"/>
        </w:rPr>
        <w:t xml:space="preserve">(now over $160,000) </w:t>
      </w:r>
      <w:r>
        <w:rPr>
          <w:sz w:val="20"/>
        </w:rPr>
        <w:t xml:space="preserve">and the Thanksgiving Fund </w:t>
      </w:r>
      <w:r w:rsidR="00C80B4A">
        <w:rPr>
          <w:sz w:val="20"/>
        </w:rPr>
        <w:t>(now over</w:t>
      </w:r>
      <w:r w:rsidR="002A5D35">
        <w:rPr>
          <w:sz w:val="20"/>
        </w:rPr>
        <w:t xml:space="preserve"> $220,000</w:t>
      </w:r>
      <w:r w:rsidR="00C80B4A">
        <w:rPr>
          <w:sz w:val="20"/>
        </w:rPr>
        <w:t>)</w:t>
      </w:r>
      <w:r w:rsidR="002A5D35">
        <w:rPr>
          <w:sz w:val="20"/>
        </w:rPr>
        <w:t xml:space="preserve">. </w:t>
      </w:r>
      <w:r>
        <w:rPr>
          <w:sz w:val="20"/>
        </w:rPr>
        <w:t xml:space="preserve">I encourage Friends to make applications to </w:t>
      </w:r>
      <w:r w:rsidR="002A5D35">
        <w:rPr>
          <w:sz w:val="20"/>
        </w:rPr>
        <w:t>those Funds</w:t>
      </w:r>
      <w:r>
        <w:rPr>
          <w:sz w:val="20"/>
        </w:rPr>
        <w:t xml:space="preserve"> for support.</w:t>
      </w:r>
    </w:p>
    <w:p w:rsidR="001756D9" w:rsidRPr="00791DF5" w:rsidRDefault="001756D9" w:rsidP="001756D9">
      <w:pPr>
        <w:ind w:left="567"/>
        <w:rPr>
          <w:sz w:val="20"/>
        </w:rPr>
      </w:pPr>
      <w:r>
        <w:rPr>
          <w:sz w:val="20"/>
        </w:rPr>
        <w:t xml:space="preserve">Each year the investment earnings </w:t>
      </w:r>
      <w:r w:rsidR="002A5D35">
        <w:rPr>
          <w:sz w:val="20"/>
        </w:rPr>
        <w:t>are</w:t>
      </w:r>
      <w:r>
        <w:rPr>
          <w:sz w:val="20"/>
        </w:rPr>
        <w:t xml:space="preserve"> distributed among the various Funds and over the last </w:t>
      </w:r>
      <w:r w:rsidR="000E38CB">
        <w:rPr>
          <w:sz w:val="20"/>
        </w:rPr>
        <w:t xml:space="preserve">5 years the average rate has been </w:t>
      </w:r>
      <w:r w:rsidR="00827D7D">
        <w:rPr>
          <w:sz w:val="20"/>
        </w:rPr>
        <w:t>6</w:t>
      </w:r>
      <w:r w:rsidR="003A49A6">
        <w:rPr>
          <w:sz w:val="20"/>
        </w:rPr>
        <w:t>%</w:t>
      </w:r>
      <w:r w:rsidR="000E7967">
        <w:rPr>
          <w:sz w:val="20"/>
        </w:rPr>
        <w:t xml:space="preserve"> pa</w:t>
      </w:r>
      <w:r w:rsidR="000E38CB">
        <w:rPr>
          <w:sz w:val="20"/>
        </w:rPr>
        <w:t>.</w:t>
      </w:r>
    </w:p>
    <w:p w:rsidR="0040196A" w:rsidRDefault="0040196A" w:rsidP="0040196A">
      <w:pPr>
        <w:numPr>
          <w:ilvl w:val="0"/>
          <w:numId w:val="7"/>
        </w:numPr>
        <w:ind w:left="567" w:hanging="567"/>
        <w:rPr>
          <w:sz w:val="20"/>
        </w:rPr>
      </w:pPr>
      <w:r>
        <w:rPr>
          <w:b/>
          <w:sz w:val="20"/>
        </w:rPr>
        <w:t>Assets</w:t>
      </w:r>
      <w:r>
        <w:rPr>
          <w:sz w:val="20"/>
        </w:rPr>
        <w:t xml:space="preserve"> The </w:t>
      </w:r>
      <w:r w:rsidR="003B2F44">
        <w:rPr>
          <w:sz w:val="20"/>
        </w:rPr>
        <w:t>Balance Sheet</w:t>
      </w:r>
      <w:r>
        <w:rPr>
          <w:sz w:val="20"/>
        </w:rPr>
        <w:t xml:space="preserve"> show</w:t>
      </w:r>
      <w:r w:rsidR="003B2F44">
        <w:rPr>
          <w:sz w:val="20"/>
        </w:rPr>
        <w:t>s</w:t>
      </w:r>
      <w:r>
        <w:rPr>
          <w:sz w:val="20"/>
        </w:rPr>
        <w:t xml:space="preserve"> the value</w:t>
      </w:r>
      <w:r w:rsidR="00E60FF7">
        <w:rPr>
          <w:sz w:val="20"/>
        </w:rPr>
        <w:t>s</w:t>
      </w:r>
      <w:r>
        <w:rPr>
          <w:sz w:val="20"/>
        </w:rPr>
        <w:t xml:space="preserve"> of our assets which</w:t>
      </w:r>
      <w:r w:rsidR="00733398">
        <w:rPr>
          <w:sz w:val="20"/>
        </w:rPr>
        <w:t>,</w:t>
      </w:r>
      <w:r>
        <w:rPr>
          <w:sz w:val="20"/>
        </w:rPr>
        <w:t xml:space="preserve"> </w:t>
      </w:r>
      <w:r w:rsidR="00733398">
        <w:rPr>
          <w:sz w:val="20"/>
        </w:rPr>
        <w:t xml:space="preserve">aside from the </w:t>
      </w:r>
      <w:r w:rsidR="00827D7D">
        <w:rPr>
          <w:sz w:val="20"/>
        </w:rPr>
        <w:t>increase in the two Funds mentioned above</w:t>
      </w:r>
      <w:r w:rsidR="00733398">
        <w:rPr>
          <w:sz w:val="20"/>
        </w:rPr>
        <w:t>, are much the same as last year</w:t>
      </w:r>
      <w:r w:rsidR="003B2F44">
        <w:rPr>
          <w:sz w:val="20"/>
        </w:rPr>
        <w:t xml:space="preserve">. </w:t>
      </w:r>
      <w:r w:rsidR="001756D9">
        <w:rPr>
          <w:sz w:val="20"/>
        </w:rPr>
        <w:t>More detail</w:t>
      </w:r>
      <w:r w:rsidR="00415D3F">
        <w:rPr>
          <w:sz w:val="20"/>
        </w:rPr>
        <w:t xml:space="preserve"> of the</w:t>
      </w:r>
      <w:r w:rsidR="00C80B4A">
        <w:rPr>
          <w:sz w:val="20"/>
        </w:rPr>
        <w:t xml:space="preserve"> assets</w:t>
      </w:r>
      <w:r w:rsidR="00415D3F">
        <w:rPr>
          <w:sz w:val="20"/>
        </w:rPr>
        <w:t xml:space="preserve"> is in a separate table</w:t>
      </w:r>
      <w:r w:rsidR="00554F3E">
        <w:rPr>
          <w:sz w:val="20"/>
        </w:rPr>
        <w:t>.</w:t>
      </w:r>
      <w:r w:rsidR="003B2F44">
        <w:rPr>
          <w:sz w:val="20"/>
        </w:rPr>
        <w:t xml:space="preserve"> </w:t>
      </w:r>
      <w:r w:rsidR="00827D7D">
        <w:rPr>
          <w:sz w:val="20"/>
        </w:rPr>
        <w:t>Since the end of the financial year the Finance Committee ha</w:t>
      </w:r>
      <w:r w:rsidR="00C80B4A">
        <w:rPr>
          <w:sz w:val="20"/>
        </w:rPr>
        <w:t>s</w:t>
      </w:r>
      <w:r w:rsidR="00827D7D">
        <w:rPr>
          <w:sz w:val="20"/>
        </w:rPr>
        <w:t xml:space="preserve"> agreed to some rearrangement of our investments to reduce the amount held in cash in view of the current low rates of interest.</w:t>
      </w:r>
    </w:p>
    <w:p w:rsidR="009C56F9" w:rsidRDefault="009C56F9" w:rsidP="009C56F9">
      <w:pPr>
        <w:numPr>
          <w:ilvl w:val="0"/>
          <w:numId w:val="7"/>
        </w:numPr>
        <w:ind w:left="567" w:hanging="567"/>
        <w:rPr>
          <w:rFonts w:cs="Arial"/>
          <w:sz w:val="20"/>
        </w:rPr>
      </w:pPr>
      <w:r w:rsidRPr="006E075A">
        <w:rPr>
          <w:rFonts w:cs="Arial"/>
          <w:b/>
          <w:sz w:val="20"/>
        </w:rPr>
        <w:t>Carbon offset payments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For</w:t>
      </w:r>
      <w:proofErr w:type="gramEnd"/>
      <w:r>
        <w:rPr>
          <w:rFonts w:cs="Arial"/>
          <w:sz w:val="20"/>
        </w:rPr>
        <w:t xml:space="preserve"> the year just ended </w:t>
      </w:r>
      <w:r w:rsidR="008F0018">
        <w:rPr>
          <w:rFonts w:cs="Arial"/>
          <w:sz w:val="20"/>
        </w:rPr>
        <w:t>Yearly Meeting asked us to</w:t>
      </w:r>
      <w:r w:rsidR="003A49A6">
        <w:rPr>
          <w:rFonts w:cs="Arial"/>
          <w:sz w:val="20"/>
        </w:rPr>
        <w:t xml:space="preserve"> </w:t>
      </w:r>
      <w:r>
        <w:rPr>
          <w:rFonts w:cs="Arial"/>
          <w:sz w:val="20"/>
        </w:rPr>
        <w:t>set aside $</w:t>
      </w:r>
      <w:r w:rsidR="008F0018">
        <w:rPr>
          <w:rFonts w:cs="Arial"/>
          <w:sz w:val="20"/>
        </w:rPr>
        <w:t>1,137</w:t>
      </w:r>
      <w:r w:rsidR="00D961E8">
        <w:rPr>
          <w:rFonts w:cs="Arial"/>
          <w:sz w:val="20"/>
        </w:rPr>
        <w:t xml:space="preserve"> to be sent to </w:t>
      </w:r>
      <w:r w:rsidR="008F0018">
        <w:rPr>
          <w:rFonts w:cs="Arial"/>
          <w:sz w:val="20"/>
        </w:rPr>
        <w:t>Gr</w:t>
      </w:r>
      <w:r w:rsidR="002A5D35">
        <w:rPr>
          <w:rFonts w:cs="Arial"/>
          <w:sz w:val="20"/>
        </w:rPr>
        <w:t>e</w:t>
      </w:r>
      <w:r w:rsidR="008F0018">
        <w:rPr>
          <w:rFonts w:cs="Arial"/>
          <w:sz w:val="20"/>
        </w:rPr>
        <w:t>enfleet</w:t>
      </w:r>
      <w:r>
        <w:rPr>
          <w:rFonts w:cs="Arial"/>
          <w:sz w:val="20"/>
        </w:rPr>
        <w:t>.</w:t>
      </w:r>
    </w:p>
    <w:p w:rsidR="006B4596" w:rsidRPr="006E075A" w:rsidRDefault="006B4596" w:rsidP="009C56F9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rPr>
          <w:rFonts w:cs="Arial"/>
          <w:sz w:val="20"/>
        </w:rPr>
      </w:pPr>
      <w:r w:rsidRPr="006E075A">
        <w:rPr>
          <w:rFonts w:cs="Arial"/>
          <w:b/>
          <w:sz w:val="20"/>
        </w:rPr>
        <w:t>Membership of the Finance Committee</w:t>
      </w:r>
      <w:r w:rsidRPr="006E075A">
        <w:rPr>
          <w:rFonts w:cs="Arial"/>
          <w:sz w:val="20"/>
        </w:rPr>
        <w:t xml:space="preserve"> </w:t>
      </w:r>
      <w:r w:rsidR="008F0018">
        <w:rPr>
          <w:rFonts w:cs="Arial"/>
          <w:sz w:val="20"/>
        </w:rPr>
        <w:t>continues to be</w:t>
      </w:r>
      <w:r w:rsidR="000E38CB">
        <w:rPr>
          <w:rFonts w:cs="Arial"/>
          <w:sz w:val="20"/>
        </w:rPr>
        <w:t xml:space="preserve"> </w:t>
      </w:r>
      <w:r w:rsidR="000E38CB" w:rsidRPr="006E075A">
        <w:rPr>
          <w:rFonts w:cs="Arial"/>
          <w:sz w:val="20"/>
        </w:rPr>
        <w:t>David Lowry</w:t>
      </w:r>
      <w:r w:rsidR="000E38CB">
        <w:rPr>
          <w:rFonts w:cs="Arial"/>
          <w:sz w:val="20"/>
        </w:rPr>
        <w:t xml:space="preserve"> and </w:t>
      </w:r>
      <w:r w:rsidR="009C56F9">
        <w:rPr>
          <w:rFonts w:cs="Arial"/>
          <w:sz w:val="20"/>
        </w:rPr>
        <w:t xml:space="preserve">David Lowe </w:t>
      </w:r>
      <w:r w:rsidR="000E38CB">
        <w:rPr>
          <w:rFonts w:cs="Arial"/>
          <w:sz w:val="20"/>
        </w:rPr>
        <w:t>of QRM and Jane Drexler of NSWRM</w:t>
      </w:r>
      <w:r w:rsidR="0093020F">
        <w:rPr>
          <w:rFonts w:cs="Arial"/>
          <w:sz w:val="20"/>
        </w:rPr>
        <w:t>.</w:t>
      </w:r>
    </w:p>
    <w:p w:rsidR="00987094" w:rsidRPr="00A95663" w:rsidRDefault="00987094" w:rsidP="00987094">
      <w:pPr>
        <w:autoSpaceDE w:val="0"/>
        <w:autoSpaceDN w:val="0"/>
        <w:adjustRightInd w:val="0"/>
        <w:jc w:val="left"/>
        <w:rPr>
          <w:rFonts w:cs="Arial"/>
          <w:b/>
          <w:sz w:val="20"/>
        </w:rPr>
      </w:pPr>
      <w:r w:rsidRPr="00A95663">
        <w:rPr>
          <w:rFonts w:cs="Arial"/>
          <w:b/>
          <w:sz w:val="20"/>
        </w:rPr>
        <w:t>Part B: for consideration:</w:t>
      </w:r>
    </w:p>
    <w:p w:rsidR="00A03CE0" w:rsidRPr="00A95663" w:rsidRDefault="00A03CE0" w:rsidP="00147740">
      <w:pPr>
        <w:numPr>
          <w:ilvl w:val="0"/>
          <w:numId w:val="4"/>
        </w:numPr>
        <w:spacing w:after="0"/>
        <w:rPr>
          <w:sz w:val="20"/>
        </w:rPr>
      </w:pPr>
      <w:r w:rsidRPr="00A95663">
        <w:rPr>
          <w:sz w:val="20"/>
        </w:rPr>
        <w:t xml:space="preserve">Acceptance of this Treasurer’s report and the Annual Accounts, the audited version of which should be available at </w:t>
      </w:r>
      <w:r w:rsidR="00B6731E">
        <w:rPr>
          <w:sz w:val="20"/>
        </w:rPr>
        <w:t>the AGM</w:t>
      </w:r>
      <w:r w:rsidRPr="00A95663">
        <w:rPr>
          <w:sz w:val="20"/>
        </w:rPr>
        <w:t>.</w:t>
      </w:r>
    </w:p>
    <w:p w:rsidR="00A03CE0" w:rsidRDefault="00A03CE0" w:rsidP="00BE10CF">
      <w:pPr>
        <w:numPr>
          <w:ilvl w:val="0"/>
          <w:numId w:val="4"/>
        </w:numPr>
        <w:spacing w:after="0"/>
        <w:rPr>
          <w:sz w:val="20"/>
        </w:rPr>
      </w:pPr>
      <w:r w:rsidRPr="00A95663">
        <w:rPr>
          <w:sz w:val="20"/>
        </w:rPr>
        <w:t>Reappointment of A.H. Jackson &amp; Co. as our Auditors for the 20</w:t>
      </w:r>
      <w:r w:rsidR="00BE65C6">
        <w:rPr>
          <w:sz w:val="20"/>
        </w:rPr>
        <w:t>1</w:t>
      </w:r>
      <w:r w:rsidR="00415D3F">
        <w:rPr>
          <w:sz w:val="20"/>
        </w:rPr>
        <w:t>9</w:t>
      </w:r>
      <w:r w:rsidR="008F0018">
        <w:rPr>
          <w:sz w:val="20"/>
        </w:rPr>
        <w:t>/20</w:t>
      </w:r>
      <w:r w:rsidRPr="00A95663">
        <w:rPr>
          <w:sz w:val="20"/>
        </w:rPr>
        <w:t xml:space="preserve"> financial year.</w:t>
      </w:r>
    </w:p>
    <w:p w:rsidR="000E38CB" w:rsidRDefault="000E38CB" w:rsidP="002D7788">
      <w:pPr>
        <w:spacing w:after="0"/>
        <w:rPr>
          <w:rFonts w:cs="Arial"/>
          <w:sz w:val="20"/>
        </w:rPr>
      </w:pPr>
    </w:p>
    <w:p w:rsidR="004963AA" w:rsidRDefault="002D7788" w:rsidP="002D7788">
      <w:pPr>
        <w:spacing w:after="0"/>
        <w:rPr>
          <w:rFonts w:cs="Arial"/>
          <w:sz w:val="20"/>
        </w:rPr>
      </w:pPr>
      <w:r w:rsidRPr="00A95663">
        <w:rPr>
          <w:rFonts w:cs="Arial"/>
          <w:sz w:val="20"/>
        </w:rPr>
        <w:t>Roger Sawkins</w:t>
      </w:r>
      <w:r w:rsidR="00987094" w:rsidRPr="00A95663">
        <w:rPr>
          <w:rFonts w:cs="Arial"/>
          <w:sz w:val="20"/>
        </w:rPr>
        <w:t xml:space="preserve">, </w:t>
      </w:r>
      <w:r w:rsidRPr="00A95663">
        <w:rPr>
          <w:rFonts w:cs="Arial"/>
          <w:sz w:val="20"/>
        </w:rPr>
        <w:t>AYM Treasurer</w:t>
      </w:r>
      <w:r w:rsidR="00AE5CA7">
        <w:rPr>
          <w:rFonts w:cs="Arial"/>
          <w:sz w:val="20"/>
        </w:rPr>
        <w:t xml:space="preserve">, </w:t>
      </w:r>
      <w:r w:rsidR="00C63D53">
        <w:rPr>
          <w:rFonts w:cs="Arial"/>
          <w:sz w:val="20"/>
        </w:rPr>
        <w:t>November 2019</w:t>
      </w:r>
    </w:p>
    <w:p w:rsidR="00307A4D" w:rsidRPr="00307A4D" w:rsidRDefault="00307A4D" w:rsidP="009C56F9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 w:rsidRPr="00307A4D">
        <w:rPr>
          <w:rFonts w:ascii="Times New Roman" w:hAnsi="Times New Roman"/>
          <w:sz w:val="24"/>
          <w:szCs w:val="24"/>
          <w:lang w:eastAsia="en-AU"/>
        </w:rPr>
        <w:t xml:space="preserve"> </w:t>
      </w:r>
    </w:p>
    <w:p w:rsidR="0043489B" w:rsidRPr="003C3B63" w:rsidRDefault="0043489B" w:rsidP="0043489B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en-AU"/>
        </w:rPr>
      </w:pPr>
      <w:r>
        <w:rPr>
          <w:rFonts w:cs="Arial"/>
          <w:sz w:val="20"/>
        </w:rPr>
        <w:br w:type="page"/>
      </w:r>
      <w:r w:rsidRPr="003C3B63">
        <w:rPr>
          <w:rFonts w:ascii="Times New Roman" w:hAnsi="Times New Roman"/>
          <w:b/>
          <w:bCs/>
          <w:sz w:val="32"/>
          <w:szCs w:val="32"/>
          <w:lang w:eastAsia="en-AU"/>
        </w:rPr>
        <w:lastRenderedPageBreak/>
        <w:t>These summarised Accounts are prior to audit</w:t>
      </w:r>
    </w:p>
    <w:p w:rsidR="0043489B" w:rsidRPr="00426BCC" w:rsidRDefault="0043489B" w:rsidP="0043489B">
      <w:pPr>
        <w:spacing w:after="0"/>
        <w:jc w:val="center"/>
        <w:rPr>
          <w:rFonts w:ascii="Times New Roman" w:hAnsi="Times New Roman"/>
          <w:b/>
          <w:bCs/>
          <w:sz w:val="20"/>
          <w:lang w:eastAsia="en-AU"/>
        </w:rPr>
      </w:pPr>
    </w:p>
    <w:p w:rsidR="0043489B" w:rsidRDefault="0043489B" w:rsidP="0043489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AU"/>
        </w:rPr>
      </w:pPr>
      <w:r w:rsidRPr="00A460F6">
        <w:rPr>
          <w:rFonts w:ascii="Times New Roman" w:hAnsi="Times New Roman"/>
          <w:b/>
          <w:bCs/>
          <w:sz w:val="28"/>
          <w:szCs w:val="28"/>
          <w:lang w:eastAsia="en-AU"/>
        </w:rPr>
        <w:t>Balance Sheet as at 30 September 201</w:t>
      </w:r>
      <w:r w:rsidR="003C3B63">
        <w:rPr>
          <w:rFonts w:ascii="Times New Roman" w:hAnsi="Times New Roman"/>
          <w:b/>
          <w:bCs/>
          <w:sz w:val="28"/>
          <w:szCs w:val="28"/>
          <w:lang w:eastAsia="en-AU"/>
        </w:rPr>
        <w:t>9</w:t>
      </w:r>
    </w:p>
    <w:p w:rsidR="0043489B" w:rsidRPr="00426BCC" w:rsidRDefault="0043489B" w:rsidP="0043489B">
      <w:pPr>
        <w:spacing w:after="0"/>
        <w:jc w:val="center"/>
        <w:rPr>
          <w:rFonts w:ascii="Times New Roman" w:hAnsi="Times New Roman"/>
          <w:sz w:val="20"/>
          <w:lang w:eastAsia="en-AU"/>
        </w:rPr>
      </w:pPr>
    </w:p>
    <w:tbl>
      <w:tblPr>
        <w:tblW w:w="9278" w:type="dxa"/>
        <w:tblInd w:w="93" w:type="dxa"/>
        <w:tblLook w:val="04A0" w:firstRow="1" w:lastRow="0" w:firstColumn="1" w:lastColumn="0" w:noHBand="0" w:noVBand="1"/>
      </w:tblPr>
      <w:tblGrid>
        <w:gridCol w:w="1826"/>
        <w:gridCol w:w="1826"/>
        <w:gridCol w:w="573"/>
        <w:gridCol w:w="3367"/>
        <w:gridCol w:w="1686"/>
      </w:tblGrid>
      <w:tr w:rsidR="003C3B63" w:rsidRPr="00426BCC" w:rsidTr="003C3B63">
        <w:trPr>
          <w:trHeight w:val="3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30/09/2017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30/09/2018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30/09/2019</w:t>
            </w:r>
          </w:p>
        </w:tc>
      </w:tr>
      <w:tr w:rsidR="003C3B63" w:rsidRPr="00426BCC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</w:rPr>
              <w:t>$.cc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</w:rPr>
              <w:t>$.cc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</w:rPr>
              <w:t>$.cc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Assets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199,362.71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181,393.88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Current assets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326,550.01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58,000.00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58,000.00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Other fixed interest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58,000.00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609,085.61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655,782.74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Shares &amp; Trusts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627,487.13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950,000.00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1,400,000.00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Property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1,400,000.00</w:t>
            </w:r>
          </w:p>
        </w:tc>
      </w:tr>
      <w:tr w:rsidR="003C3B63" w:rsidRPr="00426BCC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</w:rPr>
              <w:t>1,816,448.32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</w:rPr>
              <w:t>2,295,176.62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2,412,037.14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3B63" w:rsidRPr="00426BCC" w:rsidTr="003C3B6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3C3B63" w:rsidRPr="00426BCC" w:rsidTr="003C3B63">
        <w:trPr>
          <w:trHeight w:val="3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Liabilities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31,000.00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31,000.00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Loans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0.00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7,433.75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4,977.74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Due to other Quaker organisations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5,782.16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1.52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138.49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GST and other liabilities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404.20</w:t>
            </w:r>
          </w:p>
        </w:tc>
      </w:tr>
      <w:tr w:rsidR="003C3B63" w:rsidRPr="003C3B63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38,435.27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36,116.23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6,186.36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3B63" w:rsidRPr="00426BCC" w:rsidTr="003C3B6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3C3B63" w:rsidRPr="00426BCC" w:rsidTr="003C3B63">
        <w:trPr>
          <w:trHeight w:val="3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1,778,013.05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2,259,060.39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Net Assets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2,405,850.78</w:t>
            </w:r>
          </w:p>
        </w:tc>
      </w:tr>
      <w:tr w:rsidR="003C3B63" w:rsidRPr="00426BCC" w:rsidTr="003C3B63">
        <w:trPr>
          <w:trHeight w:val="30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3C3B63" w:rsidRPr="00426BCC" w:rsidTr="003C3B63">
        <w:trPr>
          <w:trHeight w:val="3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Administration Funds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55,238.23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56,565.50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General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60,902.44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6,985.07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-3,252.23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Annual Meeting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6,061.90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8,198.58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5,303.35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Travel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-529.40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323,372.19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343,051.19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Reserve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335,259.19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50,679.13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62,843.60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Movement in investment values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77,301.28</w:t>
            </w:r>
          </w:p>
        </w:tc>
      </w:tr>
      <w:tr w:rsidR="003C3B63" w:rsidRPr="003C3B63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444,473.20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464,511.41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478,995.41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3B63" w:rsidRPr="00426BCC" w:rsidTr="003C3B63">
        <w:trPr>
          <w:trHeight w:val="3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Other Funds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144,779.72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140,455.59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Peace &amp; Social Justice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162,782.30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17,442.46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17,803.46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Earthcare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18,977.46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20,911.97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19,792.93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First Nations Concerns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21,385.85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62,669.60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74,977.60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Thanksgiving - Current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131,866.87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92,011.00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92,011.00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Thanksgiving - Capital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92,011.00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20,710.68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25,063.79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Quaker Learning Australia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29,220.06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9,335.43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-11,571.07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Publications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9,220.87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6,604.10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3,498.29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Friends in Stitches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4,960.67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6,031.42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11,977.50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Children &amp; JYF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13,736.96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500.00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500.00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Carbon Offsets Fund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1,137.00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950,000.00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1,400,000.00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Sanctuary at valuation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1,400,000.00</w:t>
            </w:r>
          </w:p>
        </w:tc>
      </w:tr>
      <w:tr w:rsidR="003C3B63" w:rsidRPr="009F141E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2,543.47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20,039.89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Sanctuary Management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B63">
              <w:rPr>
                <w:rFonts w:ascii="Times New Roman" w:hAnsi="Times New Roman"/>
              </w:rPr>
              <w:t>41,556.33</w:t>
            </w:r>
          </w:p>
        </w:tc>
      </w:tr>
      <w:tr w:rsidR="003C3B63" w:rsidRPr="003C3B63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1,333,539.85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t>1,794,548.98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3C3B6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1,926,855.37</w:t>
            </w:r>
            <w:r w:rsidRPr="003C3B6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C3B63" w:rsidRPr="00426BCC" w:rsidTr="003C3B63">
        <w:trPr>
          <w:trHeight w:val="31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B63" w:rsidRPr="00426BCC" w:rsidTr="003C3B63">
        <w:trPr>
          <w:trHeight w:val="3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1,778,013.05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2,259,060.39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63">
              <w:rPr>
                <w:rFonts w:ascii="Times New Roman" w:hAnsi="Times New Roman"/>
                <w:b/>
                <w:bCs/>
                <w:sz w:val="28"/>
                <w:szCs w:val="28"/>
              </w:rPr>
              <w:t>Total Equity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63" w:rsidRPr="003C3B63" w:rsidRDefault="003C3B63" w:rsidP="003C3B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2,405,850.78</w:t>
            </w:r>
          </w:p>
        </w:tc>
      </w:tr>
    </w:tbl>
    <w:p w:rsidR="0043489B" w:rsidRPr="00A460F6" w:rsidRDefault="0043489B" w:rsidP="0043489B">
      <w:pPr>
        <w:spacing w:after="0"/>
        <w:jc w:val="center"/>
        <w:rPr>
          <w:rFonts w:ascii="Times New Roman" w:hAnsi="Times New Roman"/>
          <w:sz w:val="28"/>
          <w:szCs w:val="28"/>
          <w:lang w:eastAsia="en-AU"/>
        </w:rPr>
      </w:pPr>
      <w:r>
        <w:rPr>
          <w:rFonts w:ascii="Times New Roman" w:hAnsi="Times New Roman"/>
          <w:lang w:eastAsia="en-AU"/>
        </w:rPr>
        <w:br w:type="page"/>
      </w:r>
      <w:r w:rsidRPr="00A460F6">
        <w:rPr>
          <w:rFonts w:ascii="Times New Roman" w:hAnsi="Times New Roman"/>
          <w:b/>
          <w:bCs/>
          <w:sz w:val="28"/>
          <w:szCs w:val="28"/>
          <w:lang w:eastAsia="en-AU"/>
        </w:rPr>
        <w:lastRenderedPageBreak/>
        <w:t xml:space="preserve">Income and outgo of </w:t>
      </w:r>
      <w:r>
        <w:rPr>
          <w:rFonts w:ascii="Times New Roman" w:hAnsi="Times New Roman"/>
          <w:b/>
          <w:bCs/>
          <w:sz w:val="28"/>
          <w:szCs w:val="28"/>
          <w:lang w:eastAsia="en-AU"/>
        </w:rPr>
        <w:t xml:space="preserve">all </w:t>
      </w:r>
      <w:r w:rsidRPr="00A460F6">
        <w:rPr>
          <w:rFonts w:ascii="Times New Roman" w:hAnsi="Times New Roman"/>
          <w:b/>
          <w:bCs/>
          <w:sz w:val="28"/>
          <w:szCs w:val="28"/>
          <w:lang w:eastAsia="en-AU"/>
        </w:rPr>
        <w:t>Funds for the year ended 30 September 201</w:t>
      </w:r>
      <w:r w:rsidR="003C3B63">
        <w:rPr>
          <w:rFonts w:ascii="Times New Roman" w:hAnsi="Times New Roman"/>
          <w:b/>
          <w:bCs/>
          <w:sz w:val="28"/>
          <w:szCs w:val="28"/>
          <w:lang w:eastAsia="en-AU"/>
        </w:rPr>
        <w:t>9</w:t>
      </w:r>
    </w:p>
    <w:p w:rsidR="0043489B" w:rsidRDefault="0043489B" w:rsidP="0043489B"/>
    <w:tbl>
      <w:tblPr>
        <w:tblW w:w="8455" w:type="dxa"/>
        <w:tblInd w:w="567" w:type="dxa"/>
        <w:tblLook w:val="04A0" w:firstRow="1" w:lastRow="0" w:firstColumn="1" w:lastColumn="0" w:noHBand="0" w:noVBand="1"/>
      </w:tblPr>
      <w:tblGrid>
        <w:gridCol w:w="3224"/>
        <w:gridCol w:w="1371"/>
        <w:gridCol w:w="1216"/>
        <w:gridCol w:w="1283"/>
        <w:gridCol w:w="1371"/>
      </w:tblGrid>
      <w:tr w:rsidR="0043489B" w:rsidRPr="0090301F" w:rsidTr="0090301F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Amount 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Amount</w:t>
            </w:r>
          </w:p>
        </w:tc>
      </w:tr>
      <w:tr w:rsidR="0043489B" w:rsidRPr="0090301F" w:rsidTr="0090301F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beginning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Income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Outgo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at end</w:t>
            </w:r>
          </w:p>
        </w:tc>
      </w:tr>
      <w:tr w:rsidR="0043489B" w:rsidRPr="0090301F" w:rsidTr="0090301F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$.cc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$.cc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$.cc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9B" w:rsidRPr="0090301F" w:rsidRDefault="0043489B" w:rsidP="0043489B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$.cc</w:t>
            </w:r>
          </w:p>
        </w:tc>
      </w:tr>
      <w:tr w:rsidR="0090301F" w:rsidRPr="0090301F" w:rsidTr="0090301F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Administration Funds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General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56,565.50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175,225.79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-170,888.85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60,902.44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Annual Meeting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-3,252.23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41,848.05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-32,533.92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6,061.90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Travel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5,303.35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7,222.00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-13,054.75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-529.40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Reserve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343,051.19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-7,792.00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335,259.19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Movement in investment values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62,843.60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14,457.68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77,301.28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464,511.41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230,961.52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-216,477.52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478,995.41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Other Funds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Peace &amp; Social Justice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140,455.59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44,686.71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-22,360.00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162,782.30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Earthcare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17,803.46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1,474.00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-300.00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18,977.46</w:t>
            </w:r>
          </w:p>
        </w:tc>
      </w:tr>
      <w:tr w:rsidR="0090301F" w:rsidRPr="0090301F" w:rsidTr="0090301F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First Nations Concerns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19,792.93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6,407.75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-4,814.83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21,385.85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Thanksgiving Fund - Current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74,977.60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64,499.27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-7,610.00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131,866.87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Thanksgiving Fund - Capital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92,011.00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92,011.00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Quaker Learning Australia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25,063.79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15,300.21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-11,143.94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29,220.06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Publications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-11,571.07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54,344.96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-33,553.02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9,220.87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Friends in Stitches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3,498.29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1,602.38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-140.00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4,960.67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Children &amp; JYF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11,977.50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20,071.70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-18,312.24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13,736.96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Carbon Offsets Fund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500.00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1,137.00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-500.00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1,137.00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 xml:space="preserve">The Sanctuary at </w:t>
            </w:r>
            <w:proofErr w:type="spellStart"/>
            <w:r w:rsidRPr="0090301F">
              <w:rPr>
                <w:rFonts w:ascii="Times New Roman" w:hAnsi="Times New Roman"/>
                <w:szCs w:val="22"/>
                <w:lang w:eastAsia="en-AU"/>
              </w:rPr>
              <w:t>valn</w:t>
            </w:r>
            <w:proofErr w:type="spellEnd"/>
            <w:r w:rsidRPr="0090301F">
              <w:rPr>
                <w:rFonts w:ascii="Times New Roman" w:hAnsi="Times New Roman"/>
                <w:szCs w:val="22"/>
                <w:lang w:eastAsia="en-AU"/>
              </w:rPr>
              <w:t>. 2014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1,400,000.00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Sanctuary Management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20,039.89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27,649.24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-6,132.80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41,556.33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1,794,548.98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237,173.22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-104,866.83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1,926,855.37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Total Funds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2,259,060.39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468,134.74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-321,344.35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2,405,850.78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1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left"/>
              <w:rPr>
                <w:rFonts w:ascii="Times New Roman" w:hAnsi="Times New Roman"/>
                <w:b/>
                <w:bCs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  <w:lang w:eastAsia="en-AU"/>
              </w:rPr>
              <w:t>Held on behalf of other Quaker organisations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Quaker Service Australia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18.00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300.00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-318.00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FWCC Asia/West Pacific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1,780.00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7,298.17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-7,060.00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2,018.17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FWCC World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1,085.00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11,329.01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-11,235.00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1,179.01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FWCC QUNO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1,575.00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2,494.98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-2,005.00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2,064.98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Woodbrooke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29.74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-29.74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30.00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Pendle Hill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10.00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Australian Young Friends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380.00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480.00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-380.00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480.00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  <w:r w:rsidRPr="0090301F">
              <w:rPr>
                <w:rFonts w:ascii="Times New Roman" w:hAnsi="Times New Roman"/>
                <w:szCs w:val="22"/>
                <w:lang w:eastAsia="en-AU"/>
              </w:rPr>
              <w:t>Silver Wattle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100.00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-100.00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90301F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90301F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90301F" w:rsidRPr="0090301F" w:rsidTr="0090301F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90301F" w:rsidRDefault="0090301F" w:rsidP="0043489B">
            <w:pPr>
              <w:spacing w:after="0"/>
              <w:jc w:val="left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4,977.74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21,942.16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-21,137.74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90301F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90301F">
              <w:rPr>
                <w:rFonts w:ascii="Times New Roman" w:hAnsi="Times New Roman"/>
                <w:b/>
                <w:bCs/>
                <w:szCs w:val="22"/>
              </w:rPr>
              <w:t>5,782.16</w:t>
            </w:r>
          </w:p>
        </w:tc>
      </w:tr>
    </w:tbl>
    <w:p w:rsidR="0043489B" w:rsidRPr="00A460F6" w:rsidRDefault="0043489B" w:rsidP="0043489B">
      <w:pPr>
        <w:spacing w:after="0"/>
        <w:jc w:val="left"/>
        <w:rPr>
          <w:rFonts w:ascii="Times New Roman" w:hAnsi="Times New Roman"/>
          <w:lang w:eastAsia="en-AU"/>
        </w:rPr>
      </w:pPr>
    </w:p>
    <w:p w:rsidR="0043489B" w:rsidRPr="00EF1B36" w:rsidRDefault="0043489B" w:rsidP="0043489B">
      <w:pPr>
        <w:jc w:val="center"/>
        <w:rPr>
          <w:sz w:val="28"/>
          <w:szCs w:val="28"/>
        </w:rPr>
      </w:pPr>
      <w:r>
        <w:br w:type="page"/>
      </w:r>
      <w:r w:rsidRPr="00EF1B36">
        <w:rPr>
          <w:rFonts w:ascii="Times New Roman" w:hAnsi="Times New Roman"/>
          <w:b/>
          <w:bCs/>
          <w:sz w:val="28"/>
          <w:szCs w:val="28"/>
          <w:lang w:eastAsia="en-AU"/>
        </w:rPr>
        <w:lastRenderedPageBreak/>
        <w:t>General Fund Account for the year ended 30 September 201</w:t>
      </w:r>
      <w:r w:rsidR="0090301F">
        <w:rPr>
          <w:rFonts w:ascii="Times New Roman" w:hAnsi="Times New Roman"/>
          <w:b/>
          <w:bCs/>
          <w:sz w:val="28"/>
          <w:szCs w:val="28"/>
          <w:lang w:eastAsia="en-AU"/>
        </w:rPr>
        <w:t>9</w:t>
      </w: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1318"/>
        <w:gridCol w:w="1416"/>
        <w:gridCol w:w="3115"/>
        <w:gridCol w:w="1375"/>
        <w:gridCol w:w="1416"/>
        <w:gridCol w:w="1206"/>
      </w:tblGrid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Actual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Actual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2016/17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2017/18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Budget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Actual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Budget 2019/20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$.cc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$.cc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$.cc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$.cc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$.cc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320">
              <w:rPr>
                <w:rFonts w:ascii="Times New Roman" w:hAnsi="Times New Roman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166,800.00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170,200.00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Regional Meeting Quotas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171,350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171,400.00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177,650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3,816.91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3,361.71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Investment Income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3,825.79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3,000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Other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170,616.91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173,561.71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Total General Fund Income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174,350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175,225.79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180,650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1320">
              <w:rPr>
                <w:rFonts w:ascii="Times New Roman" w:hAnsi="Times New Roman"/>
                <w:b/>
                <w:bCs/>
                <w:sz w:val="28"/>
                <w:szCs w:val="28"/>
              </w:rPr>
              <w:t>Outgo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Salaries and fees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50,399.28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53,013.96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Secretary's Salary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56,000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54,787.25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56,600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4,787.98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5,036.34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Superannuation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5,300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5,204.76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5,400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572.40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711.83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Workers Compensation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639.84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800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4,600.00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4,800.00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Auditors fees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4,897.27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5,000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128.15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Bookkeeping Fees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60,487.81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63,562.13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67,500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65,529.12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67,800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Office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1,666.22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1,965.41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Office Supplies/Materials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9,000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727.42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9,500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6,274.83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3,092.47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Printing and photocopying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5,198.95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190.03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322.72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Postage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770.82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1,068.72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1,274.04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Telephone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1,407.60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469.00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5,410.22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Computer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2,052.05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203.08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Internet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8,800.00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8,400.00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7,800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7,800.00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7,800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18,468.80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20,667.94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16,800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17,956.84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17,300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Travel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7,700.00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7,300.00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Yearly Meeting Travel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9,000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9,000.00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6,600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Young Friends allocation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22,000.00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Travel Fund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8,000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18,000</w:t>
            </w:r>
          </w:p>
        </w:tc>
      </w:tr>
      <w:tr w:rsidR="0090301F" w:rsidRPr="009F141E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32,700.00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18,300.00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17,000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24,600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Other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16,000.00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17,000.00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Publications Fund subsidy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18,000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18,000.00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12,000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12,000.00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Yearly Meeting subsidy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7,000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11,904.47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12,227.76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P/L Insurance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13,000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13,081.78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14,000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Officer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362.61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Subscriptions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633.67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500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1,690.00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1,843.00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National Council of Churches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1,900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1,843.00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1,900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6,167.45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20,933.91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Committee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21,500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19,426.98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21,500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856.98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49.70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Bank &amp; other charges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17.46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150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48,981.51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56,304.37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59,650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57,002.89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57,550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Donations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1,700.00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Silver Wattle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1,700.00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1,700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1,750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FWCC World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2,000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2,000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FWCC A/W Pacific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4,000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4,000.00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4,000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2,500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QUNO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3,000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3,000.00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3,000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Woodbrooke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850.00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850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750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Pendle Hill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850.00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850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Friends Peace Teams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D21320">
              <w:rPr>
                <w:rFonts w:ascii="Times New Roman" w:hAnsi="Times New Roman"/>
                <w:szCs w:val="22"/>
              </w:rPr>
              <w:t>1,000.00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i/>
                <w:iCs/>
                <w:szCs w:val="22"/>
              </w:rPr>
              <w:t>1,000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11,750.00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13,400.00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13,400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13,400.00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13,400</w:t>
            </w:r>
          </w:p>
        </w:tc>
      </w:tr>
      <w:tr w:rsidR="0090301F" w:rsidRPr="00316B33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172,388.12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172,234.44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Total General Fund outgo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174,350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170,888.85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180,650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i/>
                <w:iCs/>
                <w:szCs w:val="22"/>
              </w:rPr>
            </w:pP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-1,771.21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1,327.27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Excess of Income over Outgo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4,336.94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0</w:t>
            </w:r>
          </w:p>
        </w:tc>
      </w:tr>
      <w:tr w:rsidR="0090301F" w:rsidRPr="009F4968" w:rsidTr="0090301F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57,009.44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55,238.23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Balance at beginning of year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56,565.50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60,902</w:t>
            </w:r>
          </w:p>
        </w:tc>
      </w:tr>
      <w:tr w:rsidR="0090301F" w:rsidRPr="009F4968" w:rsidTr="0090301F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55,238.23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56,565.50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Balance at end of year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1F" w:rsidRPr="00D21320" w:rsidRDefault="0090301F" w:rsidP="0090301F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szCs w:val="22"/>
              </w:rPr>
              <w:t>60,902.44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</w:tcPr>
          <w:p w:rsidR="0090301F" w:rsidRPr="00D21320" w:rsidRDefault="0090301F" w:rsidP="0090301F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D21320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60,902</w:t>
            </w:r>
          </w:p>
        </w:tc>
      </w:tr>
    </w:tbl>
    <w:p w:rsidR="0043489B" w:rsidRDefault="0043489B" w:rsidP="0043489B">
      <w:pPr>
        <w:jc w:val="center"/>
      </w:pPr>
      <w:r>
        <w:br w:type="page"/>
      </w:r>
    </w:p>
    <w:p w:rsidR="0043489B" w:rsidRPr="00EF1B36" w:rsidRDefault="0043489B" w:rsidP="0043489B">
      <w:pPr>
        <w:jc w:val="center"/>
        <w:rPr>
          <w:sz w:val="28"/>
          <w:szCs w:val="28"/>
        </w:rPr>
      </w:pPr>
      <w:r w:rsidRPr="00EF1B36">
        <w:rPr>
          <w:rFonts w:ascii="Times New Roman" w:hAnsi="Times New Roman"/>
          <w:b/>
          <w:bCs/>
          <w:sz w:val="28"/>
          <w:szCs w:val="28"/>
          <w:lang w:eastAsia="en-AU"/>
        </w:rPr>
        <w:lastRenderedPageBreak/>
        <w:t>Assets as at 30 September 201</w:t>
      </w:r>
      <w:r w:rsidR="003C2854">
        <w:rPr>
          <w:rFonts w:ascii="Times New Roman" w:hAnsi="Times New Roman"/>
          <w:b/>
          <w:bCs/>
          <w:sz w:val="28"/>
          <w:szCs w:val="28"/>
          <w:lang w:eastAsia="en-AU"/>
        </w:rPr>
        <w:t>9</w:t>
      </w:r>
    </w:p>
    <w:tbl>
      <w:tblPr>
        <w:tblW w:w="6019" w:type="dxa"/>
        <w:tblInd w:w="2160" w:type="dxa"/>
        <w:tblLook w:val="04A0" w:firstRow="1" w:lastRow="0" w:firstColumn="1" w:lastColumn="0" w:noHBand="0" w:noVBand="1"/>
      </w:tblPr>
      <w:tblGrid>
        <w:gridCol w:w="3539"/>
        <w:gridCol w:w="473"/>
        <w:gridCol w:w="2007"/>
      </w:tblGrid>
      <w:tr w:rsidR="009F141E" w:rsidRPr="00EF1B36" w:rsidTr="0043489B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F141E" w:rsidRPr="00EF1B36" w:rsidRDefault="009F141E" w:rsidP="0043489B">
            <w:pPr>
              <w:spacing w:after="0"/>
              <w:jc w:val="lef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F141E" w:rsidRPr="00EF1B36" w:rsidRDefault="009F141E" w:rsidP="0043489B">
            <w:pPr>
              <w:spacing w:after="0"/>
              <w:jc w:val="left"/>
              <w:rPr>
                <w:rFonts w:ascii="Times New Roman" w:hAnsi="Times New Roman"/>
                <w:lang w:eastAsia="en-A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41E" w:rsidRPr="009F141E" w:rsidRDefault="009F141E" w:rsidP="009F141E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$.cc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Bank accounts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(1)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183,907.43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Term deposits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(2)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142,642.58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Loan to Friends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58,000.00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Kangaroo Valley Shares (at cost)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900.00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Aust Ethical Investments Trusts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(3)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319,131.33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Praemium investment portfolio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(4)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76,803.38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Preference Shares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(5)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230,652.42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The Sanctuary @ Valuation in 2018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1,400,000.00</w:t>
            </w:r>
          </w:p>
        </w:tc>
      </w:tr>
      <w:tr w:rsidR="003C2854" w:rsidRPr="00EF1B36" w:rsidTr="003C2854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Total Assets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$2,412,037.14</w:t>
            </w:r>
          </w:p>
        </w:tc>
      </w:tr>
      <w:tr w:rsidR="003C2854" w:rsidRPr="00EF1B36" w:rsidTr="003C2854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Liabilities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Interest-free loans from Friends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 xml:space="preserve">$0.00 </w:t>
            </w:r>
          </w:p>
        </w:tc>
      </w:tr>
      <w:tr w:rsidR="003C2854" w:rsidRPr="00EF1B36" w:rsidTr="003C2854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Due to other Quaker organisations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 xml:space="preserve">$5,782.16 </w:t>
            </w:r>
          </w:p>
        </w:tc>
      </w:tr>
      <w:tr w:rsidR="003C2854" w:rsidRPr="00EF1B36" w:rsidTr="003C2854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Amounts due to/from others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 xml:space="preserve">$404.20 </w:t>
            </w:r>
          </w:p>
        </w:tc>
      </w:tr>
      <w:tr w:rsidR="003C2854" w:rsidRPr="00EF1B36" w:rsidTr="003C2854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Total Liabilities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 xml:space="preserve">$6,186.36 </w:t>
            </w:r>
          </w:p>
        </w:tc>
      </w:tr>
      <w:tr w:rsidR="003C2854" w:rsidRPr="00EF1B36" w:rsidTr="003C2854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  <w:r w:rsidRPr="003C285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3C2854" w:rsidRPr="00EF1B36" w:rsidTr="003C2854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Net Assets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C2854" w:rsidRPr="003C2854" w:rsidRDefault="003C2854" w:rsidP="003C2854">
            <w:pPr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854" w:rsidRPr="003C2854" w:rsidRDefault="003C2854" w:rsidP="003C2854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3C2854">
              <w:rPr>
                <w:rFonts w:ascii="Times New Roman" w:hAnsi="Times New Roman"/>
                <w:b/>
                <w:bCs/>
                <w:szCs w:val="22"/>
              </w:rPr>
              <w:t>$2,405,850.78</w:t>
            </w:r>
          </w:p>
        </w:tc>
      </w:tr>
    </w:tbl>
    <w:p w:rsidR="003C2854" w:rsidRDefault="003C2854" w:rsidP="0043489B">
      <w:pPr>
        <w:spacing w:after="0"/>
        <w:ind w:left="1440"/>
      </w:pPr>
    </w:p>
    <w:p w:rsidR="0043489B" w:rsidRDefault="0043489B" w:rsidP="0043489B">
      <w:pPr>
        <w:spacing w:after="0"/>
        <w:ind w:left="1440"/>
      </w:pPr>
      <w:r>
        <w:t>Notes:</w:t>
      </w:r>
    </w:p>
    <w:p w:rsidR="0043489B" w:rsidRPr="00EF1B36" w:rsidRDefault="0043489B" w:rsidP="0043489B">
      <w:pPr>
        <w:ind w:left="1440"/>
        <w:jc w:val="left"/>
        <w:rPr>
          <w:rFonts w:ascii="Times New Roman" w:hAnsi="Times New Roman"/>
          <w:lang w:eastAsia="en-AU"/>
        </w:rPr>
      </w:pPr>
      <w:r w:rsidRPr="00EF1B36">
        <w:rPr>
          <w:rFonts w:ascii="Times New Roman" w:hAnsi="Times New Roman"/>
          <w:lang w:eastAsia="en-AU"/>
        </w:rPr>
        <w:t>(1) The bank accounts earn interest on the balances</w:t>
      </w:r>
    </w:p>
    <w:p w:rsidR="0043489B" w:rsidRPr="00EF1B36" w:rsidRDefault="0043489B" w:rsidP="0043489B">
      <w:pPr>
        <w:ind w:left="1440"/>
        <w:jc w:val="left"/>
        <w:rPr>
          <w:rFonts w:ascii="Times New Roman" w:hAnsi="Times New Roman"/>
          <w:lang w:eastAsia="en-AU"/>
        </w:rPr>
      </w:pPr>
      <w:r w:rsidRPr="00EF1B36">
        <w:rPr>
          <w:rFonts w:ascii="Times New Roman" w:hAnsi="Times New Roman"/>
          <w:lang w:eastAsia="en-AU"/>
        </w:rPr>
        <w:t xml:space="preserve">(2) All term deposits mature within 12 months. </w:t>
      </w:r>
    </w:p>
    <w:p w:rsidR="0043489B" w:rsidRPr="00EF1B36" w:rsidRDefault="0043489B" w:rsidP="0043489B">
      <w:pPr>
        <w:ind w:left="1440"/>
        <w:jc w:val="left"/>
        <w:rPr>
          <w:rFonts w:ascii="Times New Roman" w:hAnsi="Times New Roman"/>
          <w:lang w:eastAsia="en-AU"/>
        </w:rPr>
      </w:pPr>
      <w:r w:rsidRPr="00EF1B36">
        <w:rPr>
          <w:rFonts w:ascii="Times New Roman" w:hAnsi="Times New Roman"/>
          <w:lang w:eastAsia="en-AU"/>
        </w:rPr>
        <w:t>(3) Australian Ethical Investments are in their "Balanced" and "Small companies" trusts</w:t>
      </w:r>
    </w:p>
    <w:p w:rsidR="0043489B" w:rsidRPr="00EF1B36" w:rsidRDefault="0043489B" w:rsidP="0043489B">
      <w:pPr>
        <w:ind w:left="1440"/>
        <w:jc w:val="left"/>
        <w:rPr>
          <w:rFonts w:ascii="Times New Roman" w:hAnsi="Times New Roman"/>
          <w:lang w:eastAsia="en-AU"/>
        </w:rPr>
      </w:pPr>
      <w:r w:rsidRPr="00EF1B36">
        <w:rPr>
          <w:rFonts w:ascii="Times New Roman" w:hAnsi="Times New Roman"/>
          <w:lang w:eastAsia="en-AU"/>
        </w:rPr>
        <w:t xml:space="preserve">(4) </w:t>
      </w:r>
      <w:r w:rsidR="007C7CB7">
        <w:rPr>
          <w:rFonts w:ascii="Times New Roman" w:hAnsi="Times New Roman"/>
          <w:lang w:eastAsia="en-AU"/>
        </w:rPr>
        <w:t>Praemium is a</w:t>
      </w:r>
      <w:r w:rsidRPr="00EF1B36">
        <w:rPr>
          <w:rFonts w:ascii="Times New Roman" w:hAnsi="Times New Roman"/>
          <w:lang w:eastAsia="en-AU"/>
        </w:rPr>
        <w:t xml:space="preserve"> portfolio of ordinary shares in ethical companies.</w:t>
      </w:r>
    </w:p>
    <w:p w:rsidR="0043489B" w:rsidRPr="00EF1B36" w:rsidRDefault="0043489B" w:rsidP="0043489B">
      <w:pPr>
        <w:ind w:left="1440"/>
        <w:jc w:val="left"/>
        <w:rPr>
          <w:rFonts w:ascii="Times New Roman" w:hAnsi="Times New Roman"/>
          <w:lang w:eastAsia="en-AU"/>
        </w:rPr>
      </w:pPr>
      <w:r w:rsidRPr="00EF1B36">
        <w:rPr>
          <w:rFonts w:ascii="Times New Roman" w:hAnsi="Times New Roman"/>
          <w:lang w:eastAsia="en-AU"/>
        </w:rPr>
        <w:t>(5) A portfolio of preference shares in ethical companies.</w:t>
      </w:r>
    </w:p>
    <w:p w:rsidR="0043489B" w:rsidRDefault="0043489B" w:rsidP="0043489B">
      <w:pPr>
        <w:ind w:left="1440"/>
        <w:jc w:val="left"/>
        <w:rPr>
          <w:rFonts w:ascii="Times New Roman" w:hAnsi="Times New Roman"/>
          <w:lang w:eastAsia="en-AU"/>
        </w:rPr>
      </w:pPr>
      <w:r w:rsidRPr="00EF1B36">
        <w:rPr>
          <w:rFonts w:ascii="Times New Roman" w:hAnsi="Times New Roman"/>
          <w:lang w:eastAsia="en-AU"/>
        </w:rPr>
        <w:t>(3) to (5) are at market value at 30 September 201</w:t>
      </w:r>
      <w:r w:rsidR="007C7CB7">
        <w:rPr>
          <w:rFonts w:ascii="Times New Roman" w:hAnsi="Times New Roman"/>
          <w:lang w:eastAsia="en-AU"/>
        </w:rPr>
        <w:t>9</w:t>
      </w:r>
      <w:r>
        <w:rPr>
          <w:rFonts w:ascii="Times New Roman" w:hAnsi="Times New Roman"/>
          <w:lang w:eastAsia="en-AU"/>
        </w:rPr>
        <w:t>.</w:t>
      </w:r>
    </w:p>
    <w:p w:rsidR="00A839A0" w:rsidRDefault="00A839A0" w:rsidP="009F652C">
      <w:pPr>
        <w:spacing w:after="0"/>
        <w:jc w:val="left"/>
        <w:rPr>
          <w:rFonts w:cs="Arial"/>
          <w:sz w:val="20"/>
        </w:rPr>
      </w:pPr>
    </w:p>
    <w:sectPr w:rsidR="00A839A0" w:rsidSect="00AD7837">
      <w:pgSz w:w="11907" w:h="16840" w:code="9"/>
      <w:pgMar w:top="851" w:right="1134" w:bottom="1135" w:left="1134" w:header="17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2BE"/>
    <w:multiLevelType w:val="hybridMultilevel"/>
    <w:tmpl w:val="71B4875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AB6C03"/>
    <w:multiLevelType w:val="multilevel"/>
    <w:tmpl w:val="E3EA4CE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3E1D2B4B"/>
    <w:multiLevelType w:val="hybridMultilevel"/>
    <w:tmpl w:val="B4FA4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E67"/>
    <w:multiLevelType w:val="hybridMultilevel"/>
    <w:tmpl w:val="E046683A"/>
    <w:lvl w:ilvl="0" w:tplc="653893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F915BA"/>
    <w:multiLevelType w:val="hybridMultilevel"/>
    <w:tmpl w:val="6BE6C68C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277C1F"/>
    <w:multiLevelType w:val="hybridMultilevel"/>
    <w:tmpl w:val="7C30D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F41CAE"/>
    <w:multiLevelType w:val="hybridMultilevel"/>
    <w:tmpl w:val="EFC04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04ED5"/>
    <w:multiLevelType w:val="singleLevel"/>
    <w:tmpl w:val="A3821CD0"/>
    <w:lvl w:ilvl="0">
      <w:start w:val="1"/>
      <w:numFmt w:val="decimal"/>
      <w:pStyle w:val="Orchidnumber"/>
      <w:lvlText w:val="%1"/>
      <w:lvlJc w:val="left"/>
      <w:pPr>
        <w:tabs>
          <w:tab w:val="num" w:pos="360"/>
        </w:tabs>
        <w:ind w:left="0" w:firstLine="0"/>
      </w:pPr>
      <w:rPr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BCC0C64"/>
    <w:multiLevelType w:val="hybridMultilevel"/>
    <w:tmpl w:val="D95EA60C"/>
    <w:lvl w:ilvl="0" w:tplc="B658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6"/>
    <w:rsid w:val="000008B3"/>
    <w:rsid w:val="00010849"/>
    <w:rsid w:val="00011B98"/>
    <w:rsid w:val="00013406"/>
    <w:rsid w:val="00014D6D"/>
    <w:rsid w:val="00015B6D"/>
    <w:rsid w:val="000341D1"/>
    <w:rsid w:val="00065DFD"/>
    <w:rsid w:val="00073020"/>
    <w:rsid w:val="00075AB7"/>
    <w:rsid w:val="000771AB"/>
    <w:rsid w:val="0009163B"/>
    <w:rsid w:val="000A7037"/>
    <w:rsid w:val="000C6507"/>
    <w:rsid w:val="000E01A2"/>
    <w:rsid w:val="000E203F"/>
    <w:rsid w:val="000E38CB"/>
    <w:rsid w:val="000E7967"/>
    <w:rsid w:val="000F2504"/>
    <w:rsid w:val="00111B7F"/>
    <w:rsid w:val="001239F4"/>
    <w:rsid w:val="00124BC2"/>
    <w:rsid w:val="001317D0"/>
    <w:rsid w:val="001350E6"/>
    <w:rsid w:val="00142E29"/>
    <w:rsid w:val="00147740"/>
    <w:rsid w:val="0015031D"/>
    <w:rsid w:val="00150902"/>
    <w:rsid w:val="0015643C"/>
    <w:rsid w:val="001564C5"/>
    <w:rsid w:val="0015775A"/>
    <w:rsid w:val="00162213"/>
    <w:rsid w:val="00167DC8"/>
    <w:rsid w:val="001756D9"/>
    <w:rsid w:val="00184DAD"/>
    <w:rsid w:val="00194DB6"/>
    <w:rsid w:val="001A4D0D"/>
    <w:rsid w:val="001A613F"/>
    <w:rsid w:val="001B388A"/>
    <w:rsid w:val="001B57B6"/>
    <w:rsid w:val="001B5F39"/>
    <w:rsid w:val="001C3B26"/>
    <w:rsid w:val="001C559A"/>
    <w:rsid w:val="001D71D7"/>
    <w:rsid w:val="001E0FD7"/>
    <w:rsid w:val="002034BF"/>
    <w:rsid w:val="002057A9"/>
    <w:rsid w:val="002128A5"/>
    <w:rsid w:val="0021450F"/>
    <w:rsid w:val="00221893"/>
    <w:rsid w:val="002322E2"/>
    <w:rsid w:val="00233279"/>
    <w:rsid w:val="00253A95"/>
    <w:rsid w:val="00262485"/>
    <w:rsid w:val="00263AF9"/>
    <w:rsid w:val="00264D99"/>
    <w:rsid w:val="00274929"/>
    <w:rsid w:val="002768E1"/>
    <w:rsid w:val="00277170"/>
    <w:rsid w:val="002A1917"/>
    <w:rsid w:val="002A5D35"/>
    <w:rsid w:val="002B525F"/>
    <w:rsid w:val="002D24FA"/>
    <w:rsid w:val="002D497C"/>
    <w:rsid w:val="002D7788"/>
    <w:rsid w:val="002E0B2D"/>
    <w:rsid w:val="002E562A"/>
    <w:rsid w:val="002F309F"/>
    <w:rsid w:val="00307A4D"/>
    <w:rsid w:val="0031105D"/>
    <w:rsid w:val="003112CF"/>
    <w:rsid w:val="00313323"/>
    <w:rsid w:val="00316B33"/>
    <w:rsid w:val="00320C77"/>
    <w:rsid w:val="003212AF"/>
    <w:rsid w:val="0032318B"/>
    <w:rsid w:val="0032559E"/>
    <w:rsid w:val="00330AEF"/>
    <w:rsid w:val="00335493"/>
    <w:rsid w:val="003377CD"/>
    <w:rsid w:val="00351444"/>
    <w:rsid w:val="00351995"/>
    <w:rsid w:val="003649DB"/>
    <w:rsid w:val="00366609"/>
    <w:rsid w:val="003706BF"/>
    <w:rsid w:val="00373D3B"/>
    <w:rsid w:val="0038679F"/>
    <w:rsid w:val="00394A1C"/>
    <w:rsid w:val="003A4396"/>
    <w:rsid w:val="003A49A6"/>
    <w:rsid w:val="003A5735"/>
    <w:rsid w:val="003B2F44"/>
    <w:rsid w:val="003C2122"/>
    <w:rsid w:val="003C2854"/>
    <w:rsid w:val="003C3B63"/>
    <w:rsid w:val="003D6CB0"/>
    <w:rsid w:val="003E1AF1"/>
    <w:rsid w:val="003E29D6"/>
    <w:rsid w:val="0040196A"/>
    <w:rsid w:val="00403C0E"/>
    <w:rsid w:val="004100DD"/>
    <w:rsid w:val="00412DDA"/>
    <w:rsid w:val="00415D3F"/>
    <w:rsid w:val="00426BCC"/>
    <w:rsid w:val="00433753"/>
    <w:rsid w:val="0043489B"/>
    <w:rsid w:val="004357F8"/>
    <w:rsid w:val="004363AC"/>
    <w:rsid w:val="004614B6"/>
    <w:rsid w:val="00477E45"/>
    <w:rsid w:val="00486A5B"/>
    <w:rsid w:val="00492CBD"/>
    <w:rsid w:val="004941C0"/>
    <w:rsid w:val="004963AA"/>
    <w:rsid w:val="00496736"/>
    <w:rsid w:val="00496AFC"/>
    <w:rsid w:val="004A01B6"/>
    <w:rsid w:val="004A02C2"/>
    <w:rsid w:val="004B06FD"/>
    <w:rsid w:val="004B0816"/>
    <w:rsid w:val="004B2B7D"/>
    <w:rsid w:val="004B4F8B"/>
    <w:rsid w:val="004E3C27"/>
    <w:rsid w:val="004F3F0D"/>
    <w:rsid w:val="004F5DC4"/>
    <w:rsid w:val="00503AF8"/>
    <w:rsid w:val="00503E75"/>
    <w:rsid w:val="0052100A"/>
    <w:rsid w:val="00523964"/>
    <w:rsid w:val="00547475"/>
    <w:rsid w:val="00547F1E"/>
    <w:rsid w:val="00550EFF"/>
    <w:rsid w:val="00553619"/>
    <w:rsid w:val="00554F3E"/>
    <w:rsid w:val="00556C42"/>
    <w:rsid w:val="00560548"/>
    <w:rsid w:val="00573469"/>
    <w:rsid w:val="005737F5"/>
    <w:rsid w:val="00583041"/>
    <w:rsid w:val="00591F5D"/>
    <w:rsid w:val="005A3CD4"/>
    <w:rsid w:val="005C0099"/>
    <w:rsid w:val="005D0743"/>
    <w:rsid w:val="005E4A47"/>
    <w:rsid w:val="005E5BEA"/>
    <w:rsid w:val="005F2D9B"/>
    <w:rsid w:val="006167F9"/>
    <w:rsid w:val="006211FD"/>
    <w:rsid w:val="00622D87"/>
    <w:rsid w:val="00631676"/>
    <w:rsid w:val="006436B0"/>
    <w:rsid w:val="00643DA5"/>
    <w:rsid w:val="0065002C"/>
    <w:rsid w:val="00655246"/>
    <w:rsid w:val="00660D66"/>
    <w:rsid w:val="006A1D9F"/>
    <w:rsid w:val="006A3298"/>
    <w:rsid w:val="006A35B4"/>
    <w:rsid w:val="006A4FEE"/>
    <w:rsid w:val="006A6CE8"/>
    <w:rsid w:val="006B4596"/>
    <w:rsid w:val="006B5E4C"/>
    <w:rsid w:val="006C028B"/>
    <w:rsid w:val="006C192F"/>
    <w:rsid w:val="006C1ABF"/>
    <w:rsid w:val="006C6E70"/>
    <w:rsid w:val="006D096C"/>
    <w:rsid w:val="006D2AFF"/>
    <w:rsid w:val="006D7659"/>
    <w:rsid w:val="006E075A"/>
    <w:rsid w:val="006F069E"/>
    <w:rsid w:val="007001E5"/>
    <w:rsid w:val="00715EBE"/>
    <w:rsid w:val="00717DDA"/>
    <w:rsid w:val="00720818"/>
    <w:rsid w:val="00720CAA"/>
    <w:rsid w:val="0072378C"/>
    <w:rsid w:val="00733398"/>
    <w:rsid w:val="007359FD"/>
    <w:rsid w:val="007477F3"/>
    <w:rsid w:val="007527ED"/>
    <w:rsid w:val="00766E5E"/>
    <w:rsid w:val="00772882"/>
    <w:rsid w:val="00773ECD"/>
    <w:rsid w:val="0077674F"/>
    <w:rsid w:val="00787677"/>
    <w:rsid w:val="00791DF5"/>
    <w:rsid w:val="0079398D"/>
    <w:rsid w:val="007A7E50"/>
    <w:rsid w:val="007B123F"/>
    <w:rsid w:val="007B79B5"/>
    <w:rsid w:val="007C7CB7"/>
    <w:rsid w:val="007F6A63"/>
    <w:rsid w:val="007F797A"/>
    <w:rsid w:val="008053BB"/>
    <w:rsid w:val="00823E2E"/>
    <w:rsid w:val="008269A3"/>
    <w:rsid w:val="00827D7D"/>
    <w:rsid w:val="00844DFA"/>
    <w:rsid w:val="008550E7"/>
    <w:rsid w:val="008611FC"/>
    <w:rsid w:val="00863DAC"/>
    <w:rsid w:val="00865A9F"/>
    <w:rsid w:val="00870131"/>
    <w:rsid w:val="00872187"/>
    <w:rsid w:val="00881B6E"/>
    <w:rsid w:val="00891F43"/>
    <w:rsid w:val="00893416"/>
    <w:rsid w:val="00893D7A"/>
    <w:rsid w:val="008C08F6"/>
    <w:rsid w:val="008C0EAE"/>
    <w:rsid w:val="008C7ADA"/>
    <w:rsid w:val="008F0018"/>
    <w:rsid w:val="008F02C6"/>
    <w:rsid w:val="008F6A88"/>
    <w:rsid w:val="008F743C"/>
    <w:rsid w:val="0090301F"/>
    <w:rsid w:val="00911027"/>
    <w:rsid w:val="0091559C"/>
    <w:rsid w:val="00916D0C"/>
    <w:rsid w:val="00916EA3"/>
    <w:rsid w:val="0093020F"/>
    <w:rsid w:val="00940F84"/>
    <w:rsid w:val="00947A25"/>
    <w:rsid w:val="00947F76"/>
    <w:rsid w:val="00956110"/>
    <w:rsid w:val="0096718E"/>
    <w:rsid w:val="00971E8E"/>
    <w:rsid w:val="00974DB2"/>
    <w:rsid w:val="00981290"/>
    <w:rsid w:val="00986666"/>
    <w:rsid w:val="00987094"/>
    <w:rsid w:val="00987CD5"/>
    <w:rsid w:val="009A0B5C"/>
    <w:rsid w:val="009A7F60"/>
    <w:rsid w:val="009B6D0E"/>
    <w:rsid w:val="009C316A"/>
    <w:rsid w:val="009C56F9"/>
    <w:rsid w:val="009D06B1"/>
    <w:rsid w:val="009D5570"/>
    <w:rsid w:val="009E33FF"/>
    <w:rsid w:val="009F141E"/>
    <w:rsid w:val="009F2E98"/>
    <w:rsid w:val="009F652C"/>
    <w:rsid w:val="009F659B"/>
    <w:rsid w:val="009F7B1F"/>
    <w:rsid w:val="00A03CE0"/>
    <w:rsid w:val="00A06865"/>
    <w:rsid w:val="00A11584"/>
    <w:rsid w:val="00A12DD8"/>
    <w:rsid w:val="00A15C80"/>
    <w:rsid w:val="00A8037D"/>
    <w:rsid w:val="00A839A0"/>
    <w:rsid w:val="00A95663"/>
    <w:rsid w:val="00A976DE"/>
    <w:rsid w:val="00AD7837"/>
    <w:rsid w:val="00AE5CA7"/>
    <w:rsid w:val="00AF3F15"/>
    <w:rsid w:val="00AF7FA3"/>
    <w:rsid w:val="00B01A5E"/>
    <w:rsid w:val="00B03E05"/>
    <w:rsid w:val="00B076F7"/>
    <w:rsid w:val="00B11675"/>
    <w:rsid w:val="00B135BB"/>
    <w:rsid w:val="00B13EEB"/>
    <w:rsid w:val="00B21606"/>
    <w:rsid w:val="00B238ED"/>
    <w:rsid w:val="00B352F9"/>
    <w:rsid w:val="00B44861"/>
    <w:rsid w:val="00B50BA8"/>
    <w:rsid w:val="00B553A6"/>
    <w:rsid w:val="00B6150B"/>
    <w:rsid w:val="00B6731E"/>
    <w:rsid w:val="00B67B19"/>
    <w:rsid w:val="00B7430B"/>
    <w:rsid w:val="00B80B2B"/>
    <w:rsid w:val="00B92A0A"/>
    <w:rsid w:val="00B93258"/>
    <w:rsid w:val="00BA089F"/>
    <w:rsid w:val="00BB3CFD"/>
    <w:rsid w:val="00BD0415"/>
    <w:rsid w:val="00BD5BB8"/>
    <w:rsid w:val="00BD64AF"/>
    <w:rsid w:val="00BD7EDA"/>
    <w:rsid w:val="00BE10CF"/>
    <w:rsid w:val="00BE4AAF"/>
    <w:rsid w:val="00BE65C6"/>
    <w:rsid w:val="00BF00A0"/>
    <w:rsid w:val="00BF5425"/>
    <w:rsid w:val="00C02DDE"/>
    <w:rsid w:val="00C16FCC"/>
    <w:rsid w:val="00C364B0"/>
    <w:rsid w:val="00C37846"/>
    <w:rsid w:val="00C45EAC"/>
    <w:rsid w:val="00C4635F"/>
    <w:rsid w:val="00C500BE"/>
    <w:rsid w:val="00C63D53"/>
    <w:rsid w:val="00C80B4A"/>
    <w:rsid w:val="00C85866"/>
    <w:rsid w:val="00CB5D2E"/>
    <w:rsid w:val="00D018E5"/>
    <w:rsid w:val="00D16CBB"/>
    <w:rsid w:val="00D17134"/>
    <w:rsid w:val="00D21320"/>
    <w:rsid w:val="00D257F9"/>
    <w:rsid w:val="00D52E00"/>
    <w:rsid w:val="00D6368B"/>
    <w:rsid w:val="00D65FC4"/>
    <w:rsid w:val="00D662F7"/>
    <w:rsid w:val="00D7213E"/>
    <w:rsid w:val="00D76445"/>
    <w:rsid w:val="00D7775B"/>
    <w:rsid w:val="00D77D35"/>
    <w:rsid w:val="00D87E4A"/>
    <w:rsid w:val="00D961E8"/>
    <w:rsid w:val="00DA2A16"/>
    <w:rsid w:val="00DC2FD1"/>
    <w:rsid w:val="00DD4E37"/>
    <w:rsid w:val="00DE27DC"/>
    <w:rsid w:val="00DE525C"/>
    <w:rsid w:val="00DE7E75"/>
    <w:rsid w:val="00DF1414"/>
    <w:rsid w:val="00DF73D8"/>
    <w:rsid w:val="00E062E4"/>
    <w:rsid w:val="00E07064"/>
    <w:rsid w:val="00E36866"/>
    <w:rsid w:val="00E46763"/>
    <w:rsid w:val="00E60FF7"/>
    <w:rsid w:val="00E62EAF"/>
    <w:rsid w:val="00E83F86"/>
    <w:rsid w:val="00E92CCD"/>
    <w:rsid w:val="00E968B6"/>
    <w:rsid w:val="00EA2177"/>
    <w:rsid w:val="00EA347A"/>
    <w:rsid w:val="00EC0FBC"/>
    <w:rsid w:val="00ED64E5"/>
    <w:rsid w:val="00ED76E0"/>
    <w:rsid w:val="00EE7E41"/>
    <w:rsid w:val="00EF5514"/>
    <w:rsid w:val="00EF6E79"/>
    <w:rsid w:val="00EF78FF"/>
    <w:rsid w:val="00F00B81"/>
    <w:rsid w:val="00F02699"/>
    <w:rsid w:val="00F0420B"/>
    <w:rsid w:val="00F07223"/>
    <w:rsid w:val="00F11650"/>
    <w:rsid w:val="00F12E18"/>
    <w:rsid w:val="00F1505B"/>
    <w:rsid w:val="00F20F41"/>
    <w:rsid w:val="00F23AB0"/>
    <w:rsid w:val="00F25DE5"/>
    <w:rsid w:val="00F26E5B"/>
    <w:rsid w:val="00F27446"/>
    <w:rsid w:val="00F30C7E"/>
    <w:rsid w:val="00F375ED"/>
    <w:rsid w:val="00F45251"/>
    <w:rsid w:val="00F45D2E"/>
    <w:rsid w:val="00F551B5"/>
    <w:rsid w:val="00F63366"/>
    <w:rsid w:val="00F77E74"/>
    <w:rsid w:val="00F80A20"/>
    <w:rsid w:val="00F83BE8"/>
    <w:rsid w:val="00F851BF"/>
    <w:rsid w:val="00F85CE0"/>
    <w:rsid w:val="00F969C9"/>
    <w:rsid w:val="00FA439E"/>
    <w:rsid w:val="00FA561C"/>
    <w:rsid w:val="00FA7969"/>
    <w:rsid w:val="00FB2DB8"/>
    <w:rsid w:val="00FB6CEF"/>
    <w:rsid w:val="00FD0A40"/>
    <w:rsid w:val="00FE11AA"/>
    <w:rsid w:val="00FE6B2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chid">
    <w:name w:val="Orchid"/>
    <w:pPr>
      <w:spacing w:after="120"/>
      <w:jc w:val="both"/>
    </w:pPr>
    <w:rPr>
      <w:lang w:eastAsia="en-US"/>
    </w:rPr>
  </w:style>
  <w:style w:type="paragraph" w:customStyle="1" w:styleId="Orchidbox">
    <w:name w:val="Orchid box"/>
    <w:basedOn w:val="Orchid"/>
    <w:pPr>
      <w:framePr w:w="5293" w:h="1039" w:hSpace="180" w:wrap="around" w:vAnchor="text" w:hAnchor="page" w:x="1173" w:y="30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</w:pPr>
  </w:style>
  <w:style w:type="paragraph" w:customStyle="1" w:styleId="Orchidlist">
    <w:name w:val="Orchid list"/>
    <w:pPr>
      <w:jc w:val="both"/>
    </w:pPr>
    <w:rPr>
      <w:lang w:eastAsia="en-US"/>
    </w:rPr>
  </w:style>
  <w:style w:type="paragraph" w:customStyle="1" w:styleId="Address">
    <w:name w:val="Address"/>
    <w:basedOn w:val="Normal"/>
    <w:pPr>
      <w:spacing w:after="0"/>
    </w:pPr>
    <w:rPr>
      <w:snapToGrid w:val="0"/>
    </w:rPr>
  </w:style>
  <w:style w:type="paragraph" w:customStyle="1" w:styleId="Orchidnumber">
    <w:name w:val="Orchid number"/>
    <w:basedOn w:val="Orchid"/>
    <w:next w:val="Orchid"/>
    <w:pPr>
      <w:numPr>
        <w:numId w:val="2"/>
      </w:numPr>
      <w:tabs>
        <w:tab w:val="left" w:pos="227"/>
      </w:tabs>
    </w:pPr>
  </w:style>
  <w:style w:type="paragraph" w:customStyle="1" w:styleId="Style1">
    <w:name w:val="Style1"/>
    <w:basedOn w:val="Orchid"/>
    <w:next w:val="Orchid"/>
    <w:rsid w:val="00B21606"/>
  </w:style>
  <w:style w:type="table" w:styleId="TableGrid">
    <w:name w:val="Table Grid"/>
    <w:basedOn w:val="TableNormal"/>
    <w:rsid w:val="006D765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3D3B"/>
    <w:rPr>
      <w:rFonts w:ascii="Tahoma" w:hAnsi="Tahoma" w:cs="Tahoma"/>
      <w:sz w:val="16"/>
      <w:szCs w:val="16"/>
    </w:rPr>
  </w:style>
  <w:style w:type="character" w:styleId="Strong">
    <w:name w:val="Strong"/>
    <w:qFormat/>
    <w:rsid w:val="00320C77"/>
    <w:rPr>
      <w:b/>
      <w:bCs/>
    </w:rPr>
  </w:style>
  <w:style w:type="character" w:styleId="Hyperlink">
    <w:name w:val="Hyperlink"/>
    <w:rsid w:val="00276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chid">
    <w:name w:val="Orchid"/>
    <w:pPr>
      <w:spacing w:after="120"/>
      <w:jc w:val="both"/>
    </w:pPr>
    <w:rPr>
      <w:lang w:eastAsia="en-US"/>
    </w:rPr>
  </w:style>
  <w:style w:type="paragraph" w:customStyle="1" w:styleId="Orchidbox">
    <w:name w:val="Orchid box"/>
    <w:basedOn w:val="Orchid"/>
    <w:pPr>
      <w:framePr w:w="5293" w:h="1039" w:hSpace="180" w:wrap="around" w:vAnchor="text" w:hAnchor="page" w:x="1173" w:y="30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</w:pPr>
  </w:style>
  <w:style w:type="paragraph" w:customStyle="1" w:styleId="Orchidlist">
    <w:name w:val="Orchid list"/>
    <w:pPr>
      <w:jc w:val="both"/>
    </w:pPr>
    <w:rPr>
      <w:lang w:eastAsia="en-US"/>
    </w:rPr>
  </w:style>
  <w:style w:type="paragraph" w:customStyle="1" w:styleId="Address">
    <w:name w:val="Address"/>
    <w:basedOn w:val="Normal"/>
    <w:pPr>
      <w:spacing w:after="0"/>
    </w:pPr>
    <w:rPr>
      <w:snapToGrid w:val="0"/>
    </w:rPr>
  </w:style>
  <w:style w:type="paragraph" w:customStyle="1" w:styleId="Orchidnumber">
    <w:name w:val="Orchid number"/>
    <w:basedOn w:val="Orchid"/>
    <w:next w:val="Orchid"/>
    <w:pPr>
      <w:numPr>
        <w:numId w:val="2"/>
      </w:numPr>
      <w:tabs>
        <w:tab w:val="left" w:pos="227"/>
      </w:tabs>
    </w:pPr>
  </w:style>
  <w:style w:type="paragraph" w:customStyle="1" w:styleId="Style1">
    <w:name w:val="Style1"/>
    <w:basedOn w:val="Orchid"/>
    <w:next w:val="Orchid"/>
    <w:rsid w:val="00B21606"/>
  </w:style>
  <w:style w:type="table" w:styleId="TableGrid">
    <w:name w:val="Table Grid"/>
    <w:basedOn w:val="TableNormal"/>
    <w:rsid w:val="006D765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3D3B"/>
    <w:rPr>
      <w:rFonts w:ascii="Tahoma" w:hAnsi="Tahoma" w:cs="Tahoma"/>
      <w:sz w:val="16"/>
      <w:szCs w:val="16"/>
    </w:rPr>
  </w:style>
  <w:style w:type="character" w:styleId="Strong">
    <w:name w:val="Strong"/>
    <w:qFormat/>
    <w:rsid w:val="00320C77"/>
    <w:rPr>
      <w:b/>
      <w:bCs/>
    </w:rPr>
  </w:style>
  <w:style w:type="character" w:styleId="Hyperlink">
    <w:name w:val="Hyperlink"/>
    <w:rsid w:val="0027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Yearly Meeting of the Religious Society of Friends</vt:lpstr>
    </vt:vector>
  </TitlesOfParts>
  <Company>Toshiba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Yearly Meeting of the Religious Society of Friends</dc:title>
  <dc:creator>Roger Sawkins</dc:creator>
  <cp:lastModifiedBy>Roger Sawkins</cp:lastModifiedBy>
  <cp:revision>13</cp:revision>
  <cp:lastPrinted>2013-09-29T23:14:00Z</cp:lastPrinted>
  <dcterms:created xsi:type="dcterms:W3CDTF">2018-10-23T06:20:00Z</dcterms:created>
  <dcterms:modified xsi:type="dcterms:W3CDTF">2019-11-14T03:23:00Z</dcterms:modified>
</cp:coreProperties>
</file>