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F3" w:rsidRDefault="007477F3" w:rsidP="009A0B5C">
      <w:pPr>
        <w:jc w:val="center"/>
        <w:rPr>
          <w:b/>
          <w:sz w:val="24"/>
          <w:szCs w:val="24"/>
        </w:rPr>
      </w:pPr>
      <w:r w:rsidRPr="00A03CE0">
        <w:rPr>
          <w:b/>
          <w:sz w:val="24"/>
          <w:szCs w:val="24"/>
        </w:rPr>
        <w:t xml:space="preserve">Treasurer's report to </w:t>
      </w:r>
      <w:r w:rsidR="00D961E8">
        <w:rPr>
          <w:b/>
          <w:sz w:val="24"/>
          <w:szCs w:val="24"/>
        </w:rPr>
        <w:t>t</w:t>
      </w:r>
      <w:r w:rsidR="00B6731E">
        <w:rPr>
          <w:b/>
          <w:sz w:val="24"/>
          <w:szCs w:val="24"/>
        </w:rPr>
        <w:t>he Annual General</w:t>
      </w:r>
      <w:r w:rsidR="00D17134" w:rsidRPr="00A03CE0">
        <w:rPr>
          <w:b/>
          <w:sz w:val="24"/>
          <w:szCs w:val="24"/>
        </w:rPr>
        <w:t xml:space="preserve"> Meeting </w:t>
      </w:r>
      <w:r w:rsidRPr="00A03CE0">
        <w:rPr>
          <w:b/>
          <w:sz w:val="24"/>
          <w:szCs w:val="24"/>
        </w:rPr>
        <w:t>20</w:t>
      </w:r>
      <w:r w:rsidR="00C63D53">
        <w:rPr>
          <w:b/>
          <w:sz w:val="24"/>
          <w:szCs w:val="24"/>
        </w:rPr>
        <w:t>2</w:t>
      </w:r>
      <w:r w:rsidR="004852AC">
        <w:rPr>
          <w:b/>
          <w:sz w:val="24"/>
          <w:szCs w:val="24"/>
        </w:rPr>
        <w:t>1</w:t>
      </w:r>
    </w:p>
    <w:p w:rsidR="00C63D53" w:rsidRPr="005A5F29" w:rsidRDefault="009C1C86" w:rsidP="00C63D53">
      <w:pPr>
        <w:tabs>
          <w:tab w:val="right" w:pos="9498"/>
        </w:tabs>
        <w:rPr>
          <w:rFonts w:cs="Arial"/>
          <w:szCs w:val="22"/>
        </w:rPr>
      </w:pPr>
      <w:r w:rsidRPr="009C1C86">
        <w:rPr>
          <w:rFonts w:cs="Arial"/>
          <w:i/>
          <w:szCs w:val="22"/>
        </w:rPr>
        <w:t>The guiding principle which Friends should keep in mind making an income, whether by work or by investment, should be the good of others and of the community at large, and not simply of themselves or their own family</w:t>
      </w:r>
      <w:r w:rsidRPr="00840926">
        <w:rPr>
          <w:rFonts w:cs="Arial"/>
          <w:szCs w:val="22"/>
        </w:rPr>
        <w:t>.</w:t>
      </w:r>
      <w:r w:rsidR="00C63D53">
        <w:rPr>
          <w:rFonts w:cs="Arial"/>
          <w:szCs w:val="22"/>
        </w:rPr>
        <w:tab/>
        <w:t>(</w:t>
      </w:r>
      <w:r>
        <w:rPr>
          <w:rFonts w:cs="Arial"/>
          <w:szCs w:val="22"/>
        </w:rPr>
        <w:t>London YM 1910</w:t>
      </w:r>
      <w:r w:rsidR="00C63D53">
        <w:rPr>
          <w:rFonts w:cs="Arial"/>
          <w:szCs w:val="22"/>
        </w:rPr>
        <w:t>)</w:t>
      </w:r>
    </w:p>
    <w:p w:rsidR="009C1C86" w:rsidRDefault="009C1C86" w:rsidP="00B6150B">
      <w:pPr>
        <w:rPr>
          <w:rFonts w:cs="Arial"/>
          <w:szCs w:val="22"/>
        </w:rPr>
      </w:pPr>
      <w:r>
        <w:rPr>
          <w:rFonts w:cs="Arial"/>
          <w:szCs w:val="22"/>
        </w:rPr>
        <w:t>The Covid 19 virus continues to transform the financial world and make uncertainty the ‘new normal’.</w:t>
      </w:r>
    </w:p>
    <w:p w:rsidR="001C559A" w:rsidRDefault="00D40456" w:rsidP="00B6150B">
      <w:pPr>
        <w:rPr>
          <w:sz w:val="20"/>
        </w:rPr>
      </w:pPr>
      <w:r>
        <w:rPr>
          <w:rFonts w:cs="Arial"/>
          <w:szCs w:val="22"/>
        </w:rPr>
        <w:t xml:space="preserve">Remarkably, AYM finances did not suffer unduly in </w:t>
      </w:r>
      <w:r w:rsidR="001C559A">
        <w:rPr>
          <w:sz w:val="20"/>
        </w:rPr>
        <w:t>20</w:t>
      </w:r>
      <w:r w:rsidR="00C63D53">
        <w:rPr>
          <w:sz w:val="20"/>
        </w:rPr>
        <w:t>19</w:t>
      </w:r>
      <w:r w:rsidR="009C1C86">
        <w:rPr>
          <w:sz w:val="20"/>
        </w:rPr>
        <w:t>/20</w:t>
      </w:r>
      <w:r>
        <w:rPr>
          <w:sz w:val="20"/>
        </w:rPr>
        <w:t>. This was mainly because our income from Regional Meetings was secure and unaffected</w:t>
      </w:r>
      <w:r w:rsidR="00747214">
        <w:rPr>
          <w:sz w:val="20"/>
        </w:rPr>
        <w:t xml:space="preserve"> a</w:t>
      </w:r>
      <w:r>
        <w:rPr>
          <w:sz w:val="20"/>
        </w:rPr>
        <w:t>nd our expenditure was reduced by having a ‘virtual’ Yearly Meeting and the cessation of travel</w:t>
      </w:r>
      <w:r w:rsidR="00E968B6">
        <w:rPr>
          <w:sz w:val="20"/>
        </w:rPr>
        <w:t>.</w:t>
      </w:r>
      <w:r>
        <w:rPr>
          <w:sz w:val="20"/>
        </w:rPr>
        <w:t xml:space="preserve"> Whilst our investments have suffered a little </w:t>
      </w:r>
      <w:r w:rsidR="00EE41F9">
        <w:rPr>
          <w:sz w:val="20"/>
        </w:rPr>
        <w:t>it is not of great significance at this stage.</w:t>
      </w:r>
    </w:p>
    <w:p w:rsidR="00E968B6" w:rsidRDefault="00E968B6" w:rsidP="00B6150B">
      <w:pPr>
        <w:rPr>
          <w:sz w:val="20"/>
        </w:rPr>
      </w:pPr>
      <w:r>
        <w:rPr>
          <w:sz w:val="20"/>
        </w:rPr>
        <w:t>Attached to this report is an extract from the draft Accounts for the year. The Audited Accounts will be available at the AGM and I can send a copy to anyone who is interested.</w:t>
      </w:r>
    </w:p>
    <w:p w:rsidR="00DC2FD1" w:rsidRDefault="00E968B6" w:rsidP="00B6150B">
      <w:pPr>
        <w:rPr>
          <w:sz w:val="20"/>
        </w:rPr>
      </w:pPr>
      <w:r>
        <w:rPr>
          <w:sz w:val="20"/>
        </w:rPr>
        <w:t xml:space="preserve">The principle financial </w:t>
      </w:r>
      <w:r w:rsidR="00DC2FD1">
        <w:rPr>
          <w:sz w:val="20"/>
        </w:rPr>
        <w:t xml:space="preserve">issues </w:t>
      </w:r>
      <w:r>
        <w:rPr>
          <w:sz w:val="20"/>
        </w:rPr>
        <w:t>were as follows:</w:t>
      </w:r>
    </w:p>
    <w:p w:rsidR="00D40456" w:rsidRDefault="00D40456" w:rsidP="00D40456">
      <w:pPr>
        <w:numPr>
          <w:ilvl w:val="0"/>
          <w:numId w:val="7"/>
        </w:numPr>
        <w:ind w:left="567" w:hanging="567"/>
        <w:rPr>
          <w:sz w:val="20"/>
        </w:rPr>
      </w:pPr>
      <w:r w:rsidRPr="003B2F44">
        <w:rPr>
          <w:b/>
          <w:sz w:val="20"/>
        </w:rPr>
        <w:t>General Fund</w:t>
      </w:r>
      <w:r>
        <w:rPr>
          <w:sz w:val="20"/>
        </w:rPr>
        <w:t xml:space="preserve"> </w:t>
      </w:r>
      <w:proofErr w:type="gramStart"/>
      <w:r w:rsidRPr="0040196A">
        <w:rPr>
          <w:sz w:val="20"/>
        </w:rPr>
        <w:t>The</w:t>
      </w:r>
      <w:proofErr w:type="gramEnd"/>
      <w:r w:rsidRPr="0040196A">
        <w:rPr>
          <w:sz w:val="20"/>
        </w:rPr>
        <w:t xml:space="preserve"> General </w:t>
      </w:r>
      <w:r>
        <w:rPr>
          <w:sz w:val="20"/>
        </w:rPr>
        <w:t xml:space="preserve">Fund shows an excess of income over expenditure of $19,906 in the year. Most of this was a Covid 19 support grant from the Federal Government of $15,000. We received this automatically because we are registered for the GST as well as having an employee. Standing Committee in September 2020 agreed that this amount be passed on to Regional Meetings in the 2020/21 financial year as they are more </w:t>
      </w:r>
      <w:r w:rsidR="00BF05E9">
        <w:rPr>
          <w:sz w:val="20"/>
        </w:rPr>
        <w:t xml:space="preserve">in </w:t>
      </w:r>
      <w:r>
        <w:rPr>
          <w:sz w:val="20"/>
        </w:rPr>
        <w:t>need of financial support than AYM.</w:t>
      </w:r>
      <w:r w:rsidR="00BF05E9">
        <w:rPr>
          <w:sz w:val="20"/>
        </w:rPr>
        <w:t xml:space="preserve"> We have received a further $5,000 from the Federal Government in October.</w:t>
      </w:r>
    </w:p>
    <w:p w:rsidR="00D40456" w:rsidRDefault="00D40456" w:rsidP="00D40456">
      <w:pPr>
        <w:ind w:left="567"/>
        <w:rPr>
          <w:sz w:val="20"/>
        </w:rPr>
      </w:pPr>
      <w:r>
        <w:rPr>
          <w:sz w:val="20"/>
        </w:rPr>
        <w:t xml:space="preserve">The remainder of the </w:t>
      </w:r>
      <w:r w:rsidR="00BF05E9">
        <w:rPr>
          <w:sz w:val="20"/>
        </w:rPr>
        <w:t xml:space="preserve">General Fund </w:t>
      </w:r>
      <w:r>
        <w:rPr>
          <w:sz w:val="20"/>
        </w:rPr>
        <w:t xml:space="preserve">surplus was the result of a reduction in office expenses, principally </w:t>
      </w:r>
      <w:r w:rsidR="008523F0">
        <w:rPr>
          <w:sz w:val="20"/>
        </w:rPr>
        <w:t>because Standing Committee and Yearly Meeting were held online and so required less photocopying and other expenses. Standing Committee in September agreed that the balance of the 2019/20 surplus of $5,000 should be carried forward to offset some of the budget costs for 202</w:t>
      </w:r>
      <w:r w:rsidR="006A2767">
        <w:rPr>
          <w:sz w:val="20"/>
        </w:rPr>
        <w:t>0</w:t>
      </w:r>
      <w:r w:rsidR="008523F0">
        <w:rPr>
          <w:sz w:val="20"/>
        </w:rPr>
        <w:t>/21.</w:t>
      </w:r>
      <w:r w:rsidR="00747214">
        <w:rPr>
          <w:sz w:val="20"/>
        </w:rPr>
        <w:t xml:space="preserve"> Hence the budget for 2020/21 shows a deficit of $20,000</w:t>
      </w:r>
      <w:r w:rsidR="00BF05E9">
        <w:rPr>
          <w:sz w:val="20"/>
        </w:rPr>
        <w:t xml:space="preserve"> - $15,000 of Covid support and $5,000 carry-forward</w:t>
      </w:r>
      <w:r w:rsidR="00747214">
        <w:rPr>
          <w:sz w:val="20"/>
        </w:rPr>
        <w:t>.</w:t>
      </w:r>
    </w:p>
    <w:p w:rsidR="00A02FAA" w:rsidRDefault="00A02FAA" w:rsidP="00D40456">
      <w:pPr>
        <w:ind w:left="567"/>
        <w:rPr>
          <w:sz w:val="20"/>
        </w:rPr>
      </w:pPr>
      <w:r>
        <w:rPr>
          <w:sz w:val="20"/>
        </w:rPr>
        <w:t>At the end of the Financial Year we received the renewal notice from Ansvar for our Public Liability insurance. After several years of increases this showed a reduction of over 25% in the coming year. This has helped reduce the 2020/21 budget and Regional Meeting Quotas.</w:t>
      </w:r>
    </w:p>
    <w:p w:rsidR="00A02FAA" w:rsidRDefault="00A02FAA" w:rsidP="00D40456">
      <w:pPr>
        <w:ind w:left="567"/>
        <w:rPr>
          <w:sz w:val="20"/>
        </w:rPr>
      </w:pPr>
      <w:r>
        <w:rPr>
          <w:sz w:val="20"/>
        </w:rPr>
        <w:t xml:space="preserve">Another change in the next financial year </w:t>
      </w:r>
      <w:r w:rsidR="009B639A">
        <w:rPr>
          <w:sz w:val="20"/>
        </w:rPr>
        <w:t>is</w:t>
      </w:r>
      <w:r>
        <w:rPr>
          <w:sz w:val="20"/>
        </w:rPr>
        <w:t xml:space="preserve"> Standing Committee’s agreement that we employ Emily Chapman-Searle as a part time consultant to assist the AYM Secretary with our social media presence and other outreach. An amount of $7,000 has been included in the 2020/21 budget for this role.</w:t>
      </w:r>
    </w:p>
    <w:p w:rsidR="00A02FAA" w:rsidRPr="00D40456" w:rsidRDefault="00A02FAA" w:rsidP="00D40456">
      <w:pPr>
        <w:ind w:left="567"/>
        <w:rPr>
          <w:sz w:val="20"/>
        </w:rPr>
      </w:pPr>
      <w:r>
        <w:rPr>
          <w:sz w:val="20"/>
        </w:rPr>
        <w:t xml:space="preserve">Following a request from the FWCC Committee, Standing Committee also agreed </w:t>
      </w:r>
      <w:r w:rsidR="009B639A">
        <w:rPr>
          <w:sz w:val="20"/>
        </w:rPr>
        <w:t>to an</w:t>
      </w:r>
      <w:r>
        <w:rPr>
          <w:sz w:val="20"/>
        </w:rPr>
        <w:t xml:space="preserve"> increase </w:t>
      </w:r>
      <w:r w:rsidR="009B639A">
        <w:rPr>
          <w:sz w:val="20"/>
        </w:rPr>
        <w:t xml:space="preserve">of around 10% in </w:t>
      </w:r>
      <w:r>
        <w:rPr>
          <w:sz w:val="20"/>
        </w:rPr>
        <w:t xml:space="preserve">our donations in the coming year to </w:t>
      </w:r>
      <w:r w:rsidR="009B639A">
        <w:rPr>
          <w:sz w:val="20"/>
        </w:rPr>
        <w:t>overseas Quaker bodies.</w:t>
      </w:r>
    </w:p>
    <w:p w:rsidR="008523F0" w:rsidRDefault="008523F0" w:rsidP="008523F0">
      <w:pPr>
        <w:numPr>
          <w:ilvl w:val="0"/>
          <w:numId w:val="7"/>
        </w:numPr>
        <w:ind w:left="567" w:hanging="567"/>
        <w:rPr>
          <w:sz w:val="20"/>
        </w:rPr>
      </w:pPr>
      <w:r>
        <w:rPr>
          <w:b/>
          <w:sz w:val="20"/>
        </w:rPr>
        <w:t>Assets</w:t>
      </w:r>
      <w:r>
        <w:rPr>
          <w:sz w:val="20"/>
        </w:rPr>
        <w:t xml:space="preserve"> The Balance Sheet shows </w:t>
      </w:r>
      <w:r w:rsidR="009B639A">
        <w:rPr>
          <w:sz w:val="20"/>
        </w:rPr>
        <w:t xml:space="preserve">that </w:t>
      </w:r>
      <w:r>
        <w:rPr>
          <w:sz w:val="20"/>
        </w:rPr>
        <w:t xml:space="preserve">the </w:t>
      </w:r>
      <w:r w:rsidR="009B639A">
        <w:rPr>
          <w:sz w:val="20"/>
        </w:rPr>
        <w:t>total</w:t>
      </w:r>
      <w:r>
        <w:rPr>
          <w:sz w:val="20"/>
        </w:rPr>
        <w:t xml:space="preserve"> of our assets increased over the year, principally because of the</w:t>
      </w:r>
      <w:r w:rsidR="00747214">
        <w:rPr>
          <w:sz w:val="20"/>
        </w:rPr>
        <w:t xml:space="preserve"> Covid 19 grant and other</w:t>
      </w:r>
      <w:r>
        <w:rPr>
          <w:sz w:val="20"/>
        </w:rPr>
        <w:t xml:space="preserve"> factors mentioned above. These were offset partly by the low interest rates and a small reduction in the market values of our listed investments. More detail of the assets is in a separate table.</w:t>
      </w:r>
    </w:p>
    <w:p w:rsidR="006A2767" w:rsidRDefault="006A2767" w:rsidP="006A2767">
      <w:pPr>
        <w:ind w:left="567"/>
        <w:rPr>
          <w:sz w:val="20"/>
        </w:rPr>
      </w:pPr>
      <w:r>
        <w:rPr>
          <w:sz w:val="20"/>
        </w:rPr>
        <w:t>The actual values of our assets are not important unless we need to sell them and that is not likely in the foreseeable future.</w:t>
      </w:r>
    </w:p>
    <w:p w:rsidR="00415227" w:rsidRDefault="00415227" w:rsidP="006A2767">
      <w:pPr>
        <w:ind w:left="567"/>
        <w:rPr>
          <w:sz w:val="20"/>
        </w:rPr>
      </w:pPr>
      <w:r>
        <w:rPr>
          <w:sz w:val="20"/>
        </w:rPr>
        <w:t>I had some discussions during the year with the Kangaroo Valle</w:t>
      </w:r>
      <w:r w:rsidR="00747214">
        <w:rPr>
          <w:sz w:val="20"/>
        </w:rPr>
        <w:t>y Friends Properties Pty. Ltd. d</w:t>
      </w:r>
      <w:r>
        <w:rPr>
          <w:sz w:val="20"/>
        </w:rPr>
        <w:t xml:space="preserve">irectors and some of the other shareholders. As a result our Auditor recommended that our holding of shares in the company be revalued, and a current value of $30,915 is now </w:t>
      </w:r>
      <w:r w:rsidR="00BF05E9">
        <w:rPr>
          <w:sz w:val="20"/>
        </w:rPr>
        <w:t>included</w:t>
      </w:r>
      <w:bookmarkStart w:id="0" w:name="_GoBack"/>
      <w:bookmarkEnd w:id="0"/>
      <w:r>
        <w:rPr>
          <w:sz w:val="20"/>
        </w:rPr>
        <w:t xml:space="preserve"> in our Accounts.</w:t>
      </w:r>
    </w:p>
    <w:p w:rsidR="00D40456" w:rsidRDefault="006A2767" w:rsidP="00D40456">
      <w:pPr>
        <w:numPr>
          <w:ilvl w:val="0"/>
          <w:numId w:val="7"/>
        </w:numPr>
        <w:ind w:left="567" w:hanging="567"/>
        <w:rPr>
          <w:sz w:val="20"/>
        </w:rPr>
      </w:pPr>
      <w:r>
        <w:rPr>
          <w:b/>
          <w:sz w:val="20"/>
        </w:rPr>
        <w:t>National Redress Scheme</w:t>
      </w:r>
      <w:r>
        <w:rPr>
          <w:sz w:val="20"/>
        </w:rPr>
        <w:t xml:space="preserve"> AYM and a number of </w:t>
      </w:r>
      <w:r w:rsidR="009B639A">
        <w:rPr>
          <w:sz w:val="20"/>
        </w:rPr>
        <w:t xml:space="preserve">our </w:t>
      </w:r>
      <w:r>
        <w:rPr>
          <w:sz w:val="20"/>
        </w:rPr>
        <w:t xml:space="preserve">associated bodies </w:t>
      </w:r>
      <w:r w:rsidR="003376EA">
        <w:rPr>
          <w:sz w:val="20"/>
        </w:rPr>
        <w:t xml:space="preserve">jointly </w:t>
      </w:r>
      <w:r>
        <w:rPr>
          <w:sz w:val="20"/>
        </w:rPr>
        <w:t>joined the National Redress Scheme in the year</w:t>
      </w:r>
      <w:r w:rsidR="009B639A">
        <w:rPr>
          <w:sz w:val="20"/>
        </w:rPr>
        <w:t>. T</w:t>
      </w:r>
      <w:r>
        <w:rPr>
          <w:sz w:val="20"/>
        </w:rPr>
        <w:t>here were some administrative costs which were paid from the Reserve Fund. We have been advised that we are liable for a reimbursement of around $50,000 under the Scheme which will be payable shortly. We have sufficient cash and reserves for this purpose. We are not aware of any further matters under the Scheme at present.</w:t>
      </w:r>
    </w:p>
    <w:p w:rsidR="006A2767" w:rsidRDefault="006A2767" w:rsidP="00D40456">
      <w:pPr>
        <w:numPr>
          <w:ilvl w:val="0"/>
          <w:numId w:val="7"/>
        </w:numPr>
        <w:ind w:left="567" w:hanging="567"/>
        <w:rPr>
          <w:sz w:val="20"/>
        </w:rPr>
      </w:pPr>
      <w:r>
        <w:rPr>
          <w:b/>
          <w:sz w:val="20"/>
        </w:rPr>
        <w:t>Cash flow</w:t>
      </w:r>
      <w:r>
        <w:rPr>
          <w:sz w:val="20"/>
        </w:rPr>
        <w:t xml:space="preserve"> </w:t>
      </w:r>
      <w:r>
        <w:rPr>
          <w:rFonts w:cs="Arial"/>
          <w:szCs w:val="22"/>
        </w:rPr>
        <w:t xml:space="preserve">AYM is dependent on Quota payments (usually quarterly) by Regional Meetings and all were paid on time in the </w:t>
      </w:r>
      <w:r w:rsidR="009B639A">
        <w:rPr>
          <w:rFonts w:cs="Arial"/>
          <w:szCs w:val="22"/>
        </w:rPr>
        <w:t xml:space="preserve">last </w:t>
      </w:r>
      <w:r>
        <w:rPr>
          <w:rFonts w:cs="Arial"/>
          <w:szCs w:val="22"/>
        </w:rPr>
        <w:t xml:space="preserve">financial year. The required Quotas for the coming financial year will be less than last year and Regional Meetings have not expressed any concern at this stage about fulfilling their financial obligations to AYM. With an online Annual Meeting in 2021 </w:t>
      </w:r>
      <w:r w:rsidR="00771B57">
        <w:rPr>
          <w:rFonts w:cs="Arial"/>
          <w:szCs w:val="22"/>
        </w:rPr>
        <w:t xml:space="preserve">requiring little finance </w:t>
      </w:r>
      <w:r>
        <w:rPr>
          <w:rFonts w:cs="Arial"/>
          <w:szCs w:val="22"/>
        </w:rPr>
        <w:t>and continuing reduced travel I don’t anticipate any problems in the coming year.</w:t>
      </w:r>
    </w:p>
    <w:p w:rsidR="002A5D35" w:rsidRPr="00771B57" w:rsidRDefault="00791DF5" w:rsidP="00F80A20">
      <w:pPr>
        <w:numPr>
          <w:ilvl w:val="0"/>
          <w:numId w:val="7"/>
        </w:numPr>
        <w:ind w:left="567" w:hanging="567"/>
        <w:rPr>
          <w:sz w:val="20"/>
        </w:rPr>
      </w:pPr>
      <w:r w:rsidRPr="00771B57">
        <w:rPr>
          <w:b/>
          <w:sz w:val="20"/>
        </w:rPr>
        <w:lastRenderedPageBreak/>
        <w:t>Other Fund</w:t>
      </w:r>
      <w:r w:rsidR="00771B57" w:rsidRPr="00771B57">
        <w:rPr>
          <w:b/>
          <w:sz w:val="20"/>
        </w:rPr>
        <w:t xml:space="preserve">s </w:t>
      </w:r>
      <w:r w:rsidR="00DF1414" w:rsidRPr="00771B57">
        <w:rPr>
          <w:sz w:val="20"/>
        </w:rPr>
        <w:t>With the finalisation of the extensive renovations to</w:t>
      </w:r>
      <w:r w:rsidR="00ED76E0" w:rsidRPr="00771B57">
        <w:rPr>
          <w:sz w:val="20"/>
        </w:rPr>
        <w:t xml:space="preserve"> the Sanctuary </w:t>
      </w:r>
      <w:r w:rsidR="00DF1414" w:rsidRPr="00771B57">
        <w:rPr>
          <w:sz w:val="20"/>
        </w:rPr>
        <w:t xml:space="preserve">the </w:t>
      </w:r>
      <w:r w:rsidR="00ED76E0" w:rsidRPr="00771B57">
        <w:rPr>
          <w:sz w:val="20"/>
        </w:rPr>
        <w:t xml:space="preserve">Management Fund </w:t>
      </w:r>
      <w:r w:rsidR="00827D7D" w:rsidRPr="00771B57">
        <w:rPr>
          <w:sz w:val="20"/>
        </w:rPr>
        <w:t>has</w:t>
      </w:r>
      <w:r w:rsidR="00DF1414" w:rsidRPr="00771B57">
        <w:rPr>
          <w:sz w:val="20"/>
        </w:rPr>
        <w:t xml:space="preserve"> now recover</w:t>
      </w:r>
      <w:r w:rsidR="00771B57">
        <w:rPr>
          <w:sz w:val="20"/>
        </w:rPr>
        <w:t>ed to over $6</w:t>
      </w:r>
      <w:r w:rsidR="00827D7D" w:rsidRPr="00771B57">
        <w:rPr>
          <w:sz w:val="20"/>
        </w:rPr>
        <w:t>0,000</w:t>
      </w:r>
      <w:r w:rsidR="003376EA">
        <w:rPr>
          <w:sz w:val="20"/>
        </w:rPr>
        <w:t>.</w:t>
      </w:r>
      <w:r w:rsidR="00771B57">
        <w:rPr>
          <w:sz w:val="20"/>
        </w:rPr>
        <w:t xml:space="preserve"> I understand the Committee is looking at significant expenditure on bush regeneration at the property</w:t>
      </w:r>
      <w:r w:rsidR="00DF1414" w:rsidRPr="00771B57">
        <w:rPr>
          <w:sz w:val="20"/>
        </w:rPr>
        <w:t>.</w:t>
      </w:r>
    </w:p>
    <w:p w:rsidR="00791DF5" w:rsidRDefault="00771B57" w:rsidP="00F80A20">
      <w:pPr>
        <w:ind w:left="567"/>
        <w:rPr>
          <w:sz w:val="20"/>
        </w:rPr>
      </w:pPr>
      <w:r>
        <w:rPr>
          <w:sz w:val="20"/>
        </w:rPr>
        <w:t>The Peace and Social Justice and Thanksgiving Funds have significant amounts of money available for grants</w:t>
      </w:r>
      <w:r w:rsidR="009B639A">
        <w:rPr>
          <w:sz w:val="20"/>
        </w:rPr>
        <w:t>.</w:t>
      </w:r>
      <w:r>
        <w:rPr>
          <w:sz w:val="20"/>
        </w:rPr>
        <w:t xml:space="preserve"> I encourage Friends to make applications to them</w:t>
      </w:r>
      <w:r w:rsidR="00827D7D">
        <w:rPr>
          <w:sz w:val="20"/>
        </w:rPr>
        <w:t>.</w:t>
      </w:r>
      <w:r>
        <w:rPr>
          <w:sz w:val="20"/>
        </w:rPr>
        <w:t xml:space="preserve"> I have raised with the Quaker Learning Australia Committee the fact that they have a large amount in their Fund which they may find useful.</w:t>
      </w:r>
    </w:p>
    <w:p w:rsidR="001756D9" w:rsidRPr="00791DF5" w:rsidRDefault="001756D9" w:rsidP="001756D9">
      <w:pPr>
        <w:ind w:left="567"/>
        <w:rPr>
          <w:sz w:val="20"/>
        </w:rPr>
      </w:pPr>
      <w:r>
        <w:rPr>
          <w:sz w:val="20"/>
        </w:rPr>
        <w:t xml:space="preserve">Each year the investment earnings </w:t>
      </w:r>
      <w:r w:rsidR="002A5D35">
        <w:rPr>
          <w:sz w:val="20"/>
        </w:rPr>
        <w:t>are</w:t>
      </w:r>
      <w:r>
        <w:rPr>
          <w:sz w:val="20"/>
        </w:rPr>
        <w:t xml:space="preserve"> distributed among the various Funds and over the last </w:t>
      </w:r>
      <w:r w:rsidR="000E38CB">
        <w:rPr>
          <w:sz w:val="20"/>
        </w:rPr>
        <w:t xml:space="preserve">5 years the average rate has been </w:t>
      </w:r>
      <w:r w:rsidR="00771B57">
        <w:rPr>
          <w:sz w:val="20"/>
        </w:rPr>
        <w:t>5.7</w:t>
      </w:r>
      <w:r w:rsidR="003A49A6">
        <w:rPr>
          <w:sz w:val="20"/>
        </w:rPr>
        <w:t>%</w:t>
      </w:r>
      <w:r w:rsidR="000E7967">
        <w:rPr>
          <w:sz w:val="20"/>
        </w:rPr>
        <w:t xml:space="preserve"> pa</w:t>
      </w:r>
      <w:r w:rsidR="000E38CB">
        <w:rPr>
          <w:sz w:val="20"/>
        </w:rPr>
        <w:t>.</w:t>
      </w:r>
    </w:p>
    <w:p w:rsidR="009C56F9" w:rsidRDefault="009C56F9" w:rsidP="009C56F9">
      <w:pPr>
        <w:numPr>
          <w:ilvl w:val="0"/>
          <w:numId w:val="7"/>
        </w:numPr>
        <w:ind w:left="567" w:hanging="567"/>
        <w:rPr>
          <w:rFonts w:cs="Arial"/>
          <w:sz w:val="20"/>
        </w:rPr>
      </w:pPr>
      <w:r w:rsidRPr="006E075A">
        <w:rPr>
          <w:rFonts w:cs="Arial"/>
          <w:b/>
          <w:sz w:val="20"/>
        </w:rPr>
        <w:t>Carbon offset payments</w:t>
      </w:r>
      <w:r>
        <w:rPr>
          <w:rFonts w:cs="Arial"/>
          <w:sz w:val="20"/>
        </w:rPr>
        <w:t xml:space="preserve"> For the year just ended </w:t>
      </w:r>
      <w:r w:rsidR="00771B57">
        <w:rPr>
          <w:rFonts w:cs="Arial"/>
          <w:sz w:val="20"/>
        </w:rPr>
        <w:t>we</w:t>
      </w:r>
      <w:r w:rsidR="003A49A6">
        <w:rPr>
          <w:rFonts w:cs="Arial"/>
          <w:sz w:val="20"/>
        </w:rPr>
        <w:t xml:space="preserve"> </w:t>
      </w:r>
      <w:r>
        <w:rPr>
          <w:rFonts w:cs="Arial"/>
          <w:sz w:val="20"/>
        </w:rPr>
        <w:t>set aside $</w:t>
      </w:r>
      <w:r w:rsidR="008F0018">
        <w:rPr>
          <w:rFonts w:cs="Arial"/>
          <w:sz w:val="20"/>
        </w:rPr>
        <w:t>1,1</w:t>
      </w:r>
      <w:r w:rsidR="00771B57">
        <w:rPr>
          <w:rFonts w:cs="Arial"/>
          <w:sz w:val="20"/>
        </w:rPr>
        <w:t>25</w:t>
      </w:r>
      <w:r w:rsidR="00D961E8">
        <w:rPr>
          <w:rFonts w:cs="Arial"/>
          <w:sz w:val="20"/>
        </w:rPr>
        <w:t xml:space="preserve"> to be sent to </w:t>
      </w:r>
      <w:r w:rsidR="008F0018">
        <w:rPr>
          <w:rFonts w:cs="Arial"/>
          <w:sz w:val="20"/>
        </w:rPr>
        <w:t>Gr</w:t>
      </w:r>
      <w:r w:rsidR="002A5D35">
        <w:rPr>
          <w:rFonts w:cs="Arial"/>
          <w:sz w:val="20"/>
        </w:rPr>
        <w:t>e</w:t>
      </w:r>
      <w:r w:rsidR="008F0018">
        <w:rPr>
          <w:rFonts w:cs="Arial"/>
          <w:sz w:val="20"/>
        </w:rPr>
        <w:t>enfleet</w:t>
      </w:r>
      <w:r w:rsidR="009B639A">
        <w:rPr>
          <w:rFonts w:cs="Arial"/>
          <w:sz w:val="20"/>
        </w:rPr>
        <w:t xml:space="preserve"> to cover carbon credits for our air travel</w:t>
      </w:r>
      <w:r>
        <w:rPr>
          <w:rFonts w:cs="Arial"/>
          <w:sz w:val="20"/>
        </w:rPr>
        <w:t>.</w:t>
      </w:r>
    </w:p>
    <w:p w:rsidR="00771B57" w:rsidRDefault="00771B57" w:rsidP="009C56F9">
      <w:pPr>
        <w:numPr>
          <w:ilvl w:val="0"/>
          <w:numId w:val="7"/>
        </w:numPr>
        <w:ind w:left="567" w:hanging="567"/>
        <w:rPr>
          <w:rFonts w:cs="Arial"/>
          <w:sz w:val="20"/>
        </w:rPr>
      </w:pPr>
      <w:r>
        <w:rPr>
          <w:rFonts w:cs="Arial"/>
          <w:b/>
          <w:sz w:val="20"/>
        </w:rPr>
        <w:t>Auditor</w:t>
      </w:r>
      <w:r>
        <w:rPr>
          <w:rFonts w:cs="Arial"/>
          <w:sz w:val="20"/>
        </w:rPr>
        <w:t xml:space="preserve"> I have checked with our Auditor of 15 years, Leo Manicaros of AH Jackson &amp; Co in Brisbane that he is willing to continue in the role.</w:t>
      </w:r>
    </w:p>
    <w:p w:rsidR="003376EA" w:rsidRDefault="006B4596" w:rsidP="009C56F9">
      <w:pPr>
        <w:numPr>
          <w:ilvl w:val="0"/>
          <w:numId w:val="7"/>
        </w:numPr>
        <w:autoSpaceDE w:val="0"/>
        <w:autoSpaceDN w:val="0"/>
        <w:adjustRightInd w:val="0"/>
        <w:ind w:left="567" w:hanging="567"/>
        <w:rPr>
          <w:rFonts w:cs="Arial"/>
          <w:sz w:val="20"/>
        </w:rPr>
      </w:pPr>
      <w:r w:rsidRPr="006E075A">
        <w:rPr>
          <w:rFonts w:cs="Arial"/>
          <w:b/>
          <w:sz w:val="20"/>
        </w:rPr>
        <w:t>Membership of the Finance Committee</w:t>
      </w:r>
      <w:r w:rsidRPr="006E075A">
        <w:rPr>
          <w:rFonts w:cs="Arial"/>
          <w:sz w:val="20"/>
        </w:rPr>
        <w:t xml:space="preserve"> </w:t>
      </w:r>
      <w:r w:rsidR="008F0018">
        <w:rPr>
          <w:rFonts w:cs="Arial"/>
          <w:sz w:val="20"/>
        </w:rPr>
        <w:t>continues to be</w:t>
      </w:r>
      <w:r w:rsidR="000E38CB">
        <w:rPr>
          <w:rFonts w:cs="Arial"/>
          <w:sz w:val="20"/>
        </w:rPr>
        <w:t xml:space="preserve"> </w:t>
      </w:r>
      <w:r w:rsidR="000E38CB" w:rsidRPr="006E075A">
        <w:rPr>
          <w:rFonts w:cs="Arial"/>
          <w:sz w:val="20"/>
        </w:rPr>
        <w:t>David Lowry</w:t>
      </w:r>
      <w:r w:rsidR="000E38CB">
        <w:rPr>
          <w:rFonts w:cs="Arial"/>
          <w:sz w:val="20"/>
        </w:rPr>
        <w:t xml:space="preserve"> and </w:t>
      </w:r>
      <w:r w:rsidR="009C56F9">
        <w:rPr>
          <w:rFonts w:cs="Arial"/>
          <w:sz w:val="20"/>
        </w:rPr>
        <w:t xml:space="preserve">David Lowe </w:t>
      </w:r>
      <w:r w:rsidR="000E38CB">
        <w:rPr>
          <w:rFonts w:cs="Arial"/>
          <w:sz w:val="20"/>
        </w:rPr>
        <w:t>of QRM and Jane Drexler of NSWRM</w:t>
      </w:r>
      <w:r w:rsidR="0093020F">
        <w:rPr>
          <w:rFonts w:cs="Arial"/>
          <w:sz w:val="20"/>
        </w:rPr>
        <w:t>.</w:t>
      </w:r>
    </w:p>
    <w:p w:rsidR="006B4596" w:rsidRPr="006E075A" w:rsidRDefault="00771B57" w:rsidP="003376EA">
      <w:pPr>
        <w:autoSpaceDE w:val="0"/>
        <w:autoSpaceDN w:val="0"/>
        <w:adjustRightInd w:val="0"/>
        <w:ind w:left="567"/>
        <w:rPr>
          <w:rFonts w:cs="Arial"/>
          <w:sz w:val="20"/>
        </w:rPr>
      </w:pPr>
      <w:r>
        <w:rPr>
          <w:rFonts w:cs="Arial"/>
          <w:sz w:val="20"/>
        </w:rPr>
        <w:t xml:space="preserve">As I write this report I am in the process of handing over the AYM Treasurer </w:t>
      </w:r>
      <w:proofErr w:type="gramStart"/>
      <w:r>
        <w:rPr>
          <w:rFonts w:cs="Arial"/>
          <w:sz w:val="20"/>
        </w:rPr>
        <w:t>job</w:t>
      </w:r>
      <w:proofErr w:type="gramEnd"/>
      <w:r>
        <w:rPr>
          <w:rFonts w:cs="Arial"/>
          <w:sz w:val="20"/>
        </w:rPr>
        <w:t xml:space="preserve"> to Jane after 15 years. I would like to take this opportunity to thank my Committee, the various AYM Secretaries and Presiding Clerks over that period and the many other Friends who have been involved in the finances.</w:t>
      </w:r>
    </w:p>
    <w:p w:rsidR="00987094" w:rsidRPr="00A95663" w:rsidRDefault="00987094" w:rsidP="00987094">
      <w:pPr>
        <w:autoSpaceDE w:val="0"/>
        <w:autoSpaceDN w:val="0"/>
        <w:adjustRightInd w:val="0"/>
        <w:jc w:val="left"/>
        <w:rPr>
          <w:rFonts w:cs="Arial"/>
          <w:b/>
          <w:sz w:val="20"/>
        </w:rPr>
      </w:pPr>
      <w:r w:rsidRPr="00A95663">
        <w:rPr>
          <w:rFonts w:cs="Arial"/>
          <w:b/>
          <w:sz w:val="20"/>
        </w:rPr>
        <w:t>Part B: for consideration:</w:t>
      </w:r>
    </w:p>
    <w:p w:rsidR="00A03CE0" w:rsidRPr="00A95663" w:rsidRDefault="00A03CE0" w:rsidP="00147740">
      <w:pPr>
        <w:numPr>
          <w:ilvl w:val="0"/>
          <w:numId w:val="4"/>
        </w:numPr>
        <w:spacing w:after="0"/>
        <w:rPr>
          <w:sz w:val="20"/>
        </w:rPr>
      </w:pPr>
      <w:r w:rsidRPr="00A95663">
        <w:rPr>
          <w:sz w:val="20"/>
        </w:rPr>
        <w:t xml:space="preserve">Acceptance of this Treasurer’s report and the Annual Accounts, the audited version of which should be available at </w:t>
      </w:r>
      <w:r w:rsidR="00B6731E">
        <w:rPr>
          <w:sz w:val="20"/>
        </w:rPr>
        <w:t>the AGM</w:t>
      </w:r>
      <w:r w:rsidRPr="00A95663">
        <w:rPr>
          <w:sz w:val="20"/>
        </w:rPr>
        <w:t>.</w:t>
      </w:r>
    </w:p>
    <w:p w:rsidR="00A03CE0" w:rsidRDefault="00A03CE0" w:rsidP="00BE10CF">
      <w:pPr>
        <w:numPr>
          <w:ilvl w:val="0"/>
          <w:numId w:val="4"/>
        </w:numPr>
        <w:spacing w:after="0"/>
        <w:rPr>
          <w:sz w:val="20"/>
        </w:rPr>
      </w:pPr>
      <w:r w:rsidRPr="00A95663">
        <w:rPr>
          <w:sz w:val="20"/>
        </w:rPr>
        <w:t>Reappointment of A.H. Jackson &amp; Co. as our Auditors for the 20</w:t>
      </w:r>
      <w:r w:rsidR="008F0018">
        <w:rPr>
          <w:sz w:val="20"/>
        </w:rPr>
        <w:t>20</w:t>
      </w:r>
      <w:r w:rsidR="00F207B0">
        <w:rPr>
          <w:sz w:val="20"/>
        </w:rPr>
        <w:t>/21</w:t>
      </w:r>
      <w:r w:rsidRPr="00A95663">
        <w:rPr>
          <w:sz w:val="20"/>
        </w:rPr>
        <w:t xml:space="preserve"> financial year.</w:t>
      </w:r>
    </w:p>
    <w:p w:rsidR="000E38CB" w:rsidRDefault="000E38CB" w:rsidP="002D7788">
      <w:pPr>
        <w:spacing w:after="0"/>
        <w:rPr>
          <w:rFonts w:cs="Arial"/>
          <w:sz w:val="20"/>
        </w:rPr>
      </w:pPr>
    </w:p>
    <w:p w:rsidR="004963AA" w:rsidRDefault="002D7788" w:rsidP="002D7788">
      <w:pPr>
        <w:spacing w:after="0"/>
        <w:rPr>
          <w:rFonts w:cs="Arial"/>
          <w:sz w:val="20"/>
        </w:rPr>
      </w:pPr>
      <w:r w:rsidRPr="00A95663">
        <w:rPr>
          <w:rFonts w:cs="Arial"/>
          <w:sz w:val="20"/>
        </w:rPr>
        <w:t>Roger Sawkins</w:t>
      </w:r>
      <w:r w:rsidR="00987094" w:rsidRPr="00A95663">
        <w:rPr>
          <w:rFonts w:cs="Arial"/>
          <w:sz w:val="20"/>
        </w:rPr>
        <w:t xml:space="preserve">, </w:t>
      </w:r>
      <w:r w:rsidRPr="00A95663">
        <w:rPr>
          <w:rFonts w:cs="Arial"/>
          <w:sz w:val="20"/>
        </w:rPr>
        <w:t>AYM Treasurer</w:t>
      </w:r>
      <w:r w:rsidR="00AE5CA7">
        <w:rPr>
          <w:rFonts w:cs="Arial"/>
          <w:sz w:val="20"/>
        </w:rPr>
        <w:t xml:space="preserve">, </w:t>
      </w:r>
      <w:r w:rsidR="00C63D53">
        <w:rPr>
          <w:rFonts w:cs="Arial"/>
          <w:sz w:val="20"/>
        </w:rPr>
        <w:t>November 20</w:t>
      </w:r>
      <w:r w:rsidR="00F207B0">
        <w:rPr>
          <w:rFonts w:cs="Arial"/>
          <w:sz w:val="20"/>
        </w:rPr>
        <w:t>20</w:t>
      </w:r>
    </w:p>
    <w:p w:rsidR="00307A4D" w:rsidRPr="00307A4D" w:rsidRDefault="00307A4D" w:rsidP="009C56F9">
      <w:pPr>
        <w:spacing w:after="0"/>
        <w:rPr>
          <w:rFonts w:ascii="Times New Roman" w:hAnsi="Times New Roman"/>
          <w:sz w:val="24"/>
          <w:szCs w:val="24"/>
          <w:lang w:eastAsia="en-AU"/>
        </w:rPr>
      </w:pPr>
      <w:r w:rsidRPr="00307A4D">
        <w:rPr>
          <w:rFonts w:ascii="Times New Roman" w:hAnsi="Times New Roman"/>
          <w:sz w:val="24"/>
          <w:szCs w:val="24"/>
          <w:lang w:eastAsia="en-AU"/>
        </w:rPr>
        <w:t xml:space="preserve"> </w:t>
      </w:r>
    </w:p>
    <w:p w:rsidR="00EE41F9" w:rsidRDefault="00EE41F9">
      <w:pPr>
        <w:spacing w:after="0"/>
        <w:jc w:val="left"/>
        <w:rPr>
          <w:rFonts w:cs="Arial"/>
          <w:sz w:val="20"/>
        </w:rPr>
      </w:pPr>
      <w:r>
        <w:rPr>
          <w:rFonts w:cs="Arial"/>
          <w:sz w:val="20"/>
        </w:rPr>
        <w:br w:type="page"/>
      </w:r>
    </w:p>
    <w:p w:rsidR="0043489B" w:rsidRPr="003C3B63" w:rsidRDefault="0043489B" w:rsidP="0043489B">
      <w:pPr>
        <w:spacing w:after="0"/>
        <w:jc w:val="center"/>
        <w:rPr>
          <w:rFonts w:ascii="Times New Roman" w:hAnsi="Times New Roman"/>
          <w:b/>
          <w:bCs/>
          <w:sz w:val="32"/>
          <w:szCs w:val="32"/>
          <w:lang w:eastAsia="en-AU"/>
        </w:rPr>
      </w:pPr>
      <w:r w:rsidRPr="003C3B63">
        <w:rPr>
          <w:rFonts w:ascii="Times New Roman" w:hAnsi="Times New Roman"/>
          <w:b/>
          <w:bCs/>
          <w:sz w:val="32"/>
          <w:szCs w:val="32"/>
          <w:lang w:eastAsia="en-AU"/>
        </w:rPr>
        <w:lastRenderedPageBreak/>
        <w:t>These summarised Accounts are prior to audit</w:t>
      </w:r>
    </w:p>
    <w:p w:rsidR="0043489B" w:rsidRPr="00426BCC" w:rsidRDefault="0043489B" w:rsidP="0043489B">
      <w:pPr>
        <w:spacing w:after="0"/>
        <w:jc w:val="center"/>
        <w:rPr>
          <w:rFonts w:ascii="Times New Roman" w:hAnsi="Times New Roman"/>
          <w:b/>
          <w:bCs/>
          <w:sz w:val="20"/>
          <w:lang w:eastAsia="en-AU"/>
        </w:rPr>
      </w:pPr>
    </w:p>
    <w:p w:rsidR="0043489B" w:rsidRDefault="0043489B" w:rsidP="0043489B">
      <w:pPr>
        <w:spacing w:after="0"/>
        <w:jc w:val="center"/>
        <w:rPr>
          <w:rFonts w:ascii="Times New Roman" w:hAnsi="Times New Roman"/>
          <w:b/>
          <w:bCs/>
          <w:sz w:val="28"/>
          <w:szCs w:val="28"/>
          <w:lang w:eastAsia="en-AU"/>
        </w:rPr>
      </w:pPr>
      <w:r w:rsidRPr="00A460F6">
        <w:rPr>
          <w:rFonts w:ascii="Times New Roman" w:hAnsi="Times New Roman"/>
          <w:b/>
          <w:bCs/>
          <w:sz w:val="28"/>
          <w:szCs w:val="28"/>
          <w:lang w:eastAsia="en-AU"/>
        </w:rPr>
        <w:t>Balance Sheet as at 30 September 20</w:t>
      </w:r>
      <w:r w:rsidR="00A94F42">
        <w:rPr>
          <w:rFonts w:ascii="Times New Roman" w:hAnsi="Times New Roman"/>
          <w:b/>
          <w:bCs/>
          <w:sz w:val="28"/>
          <w:szCs w:val="28"/>
          <w:lang w:eastAsia="en-AU"/>
        </w:rPr>
        <w:t>20</w:t>
      </w:r>
    </w:p>
    <w:p w:rsidR="0043489B" w:rsidRPr="00426BCC" w:rsidRDefault="0043489B" w:rsidP="0043489B">
      <w:pPr>
        <w:spacing w:after="0"/>
        <w:jc w:val="center"/>
        <w:rPr>
          <w:rFonts w:ascii="Times New Roman" w:hAnsi="Times New Roman"/>
          <w:sz w:val="20"/>
          <w:lang w:eastAsia="en-AU"/>
        </w:rPr>
      </w:pPr>
    </w:p>
    <w:tbl>
      <w:tblPr>
        <w:tblW w:w="9278" w:type="dxa"/>
        <w:tblInd w:w="93" w:type="dxa"/>
        <w:tblLook w:val="04A0" w:firstRow="1" w:lastRow="0" w:firstColumn="1" w:lastColumn="0" w:noHBand="0" w:noVBand="1"/>
      </w:tblPr>
      <w:tblGrid>
        <w:gridCol w:w="1826"/>
        <w:gridCol w:w="1826"/>
        <w:gridCol w:w="573"/>
        <w:gridCol w:w="3367"/>
        <w:gridCol w:w="1686"/>
      </w:tblGrid>
      <w:tr w:rsidR="00022176" w:rsidRPr="00426BCC" w:rsidTr="003C3B63">
        <w:trPr>
          <w:trHeight w:val="37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8"/>
                <w:szCs w:val="28"/>
              </w:rPr>
            </w:pPr>
            <w:r w:rsidRPr="00712C0B">
              <w:rPr>
                <w:rFonts w:ascii="Times New Roman" w:hAnsi="Times New Roman"/>
                <w:b/>
                <w:bCs/>
                <w:sz w:val="28"/>
                <w:szCs w:val="28"/>
              </w:rPr>
              <w:t>30/9/2018</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8"/>
                <w:szCs w:val="28"/>
              </w:rPr>
            </w:pPr>
            <w:r w:rsidRPr="00712C0B">
              <w:rPr>
                <w:rFonts w:ascii="Times New Roman" w:hAnsi="Times New Roman"/>
                <w:b/>
                <w:bCs/>
                <w:sz w:val="28"/>
                <w:szCs w:val="28"/>
              </w:rPr>
              <w:t>30/9/2019</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8"/>
                <w:szCs w:val="28"/>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8"/>
                <w:szCs w:val="28"/>
              </w:rPr>
            </w:pP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8"/>
                <w:szCs w:val="28"/>
              </w:rPr>
            </w:pPr>
            <w:r w:rsidRPr="00712C0B">
              <w:rPr>
                <w:rFonts w:ascii="Times New Roman" w:hAnsi="Times New Roman"/>
                <w:b/>
                <w:bCs/>
                <w:sz w:val="28"/>
                <w:szCs w:val="28"/>
              </w:rPr>
              <w:t>30/9/2020</w:t>
            </w:r>
          </w:p>
        </w:tc>
      </w:tr>
      <w:tr w:rsidR="00022176" w:rsidRPr="00426BCC"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4"/>
                <w:szCs w:val="24"/>
              </w:rPr>
            </w:pPr>
            <w:r w:rsidRPr="00712C0B">
              <w:rPr>
                <w:rFonts w:ascii="Times New Roman" w:hAnsi="Times New Roman"/>
                <w:b/>
                <w:bCs/>
              </w:rPr>
              <w:t>$.cc</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4"/>
                <w:szCs w:val="24"/>
              </w:rPr>
            </w:pPr>
            <w:r w:rsidRPr="00712C0B">
              <w:rPr>
                <w:rFonts w:ascii="Times New Roman" w:hAnsi="Times New Roman"/>
                <w:b/>
                <w:bCs/>
              </w:rPr>
              <w:t>$.cc</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4"/>
                <w:szCs w:val="24"/>
              </w:rPr>
            </w:pP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4"/>
                <w:szCs w:val="24"/>
              </w:rPr>
            </w:pPr>
            <w:r w:rsidRPr="00712C0B">
              <w:rPr>
                <w:rFonts w:ascii="Times New Roman" w:hAnsi="Times New Roman"/>
                <w:b/>
                <w:bCs/>
              </w:rPr>
              <w:t>$.cc</w:t>
            </w: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r w:rsidRPr="00712C0B">
              <w:rPr>
                <w:rFonts w:ascii="Times New Roman" w:hAnsi="Times New Roman"/>
                <w:b/>
                <w:bCs/>
                <w:sz w:val="28"/>
                <w:szCs w:val="28"/>
              </w:rPr>
              <w:t>Assets</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8"/>
                <w:szCs w:val="28"/>
              </w:rPr>
            </w:pP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181,393.88</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326,550.01</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r w:rsidRPr="00712C0B">
              <w:rPr>
                <w:rFonts w:ascii="Times New Roman" w:hAnsi="Times New Roman"/>
              </w:rPr>
              <w:t>Current assets</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257,677.34</w:t>
            </w: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58,000.00</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58,000.00</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r w:rsidRPr="00712C0B">
              <w:rPr>
                <w:rFonts w:ascii="Times New Roman" w:hAnsi="Times New Roman"/>
              </w:rPr>
              <w:t>Other fixed interest</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58,000.00</w:t>
            </w: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655,782.74</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627,487.13</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r w:rsidRPr="00712C0B">
              <w:rPr>
                <w:rFonts w:ascii="Times New Roman" w:hAnsi="Times New Roman"/>
              </w:rPr>
              <w:t>Shares &amp; Trusts</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733,428.04</w:t>
            </w: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1,400,000.00</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1,400,000.00</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r w:rsidRPr="00712C0B">
              <w:rPr>
                <w:rFonts w:ascii="Times New Roman" w:hAnsi="Times New Roman"/>
              </w:rPr>
              <w:t>Property</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1,400,000.00</w:t>
            </w:r>
          </w:p>
        </w:tc>
      </w:tr>
      <w:tr w:rsidR="00022176" w:rsidRPr="00426BCC"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4"/>
                <w:szCs w:val="24"/>
              </w:rPr>
            </w:pPr>
            <w:r w:rsidRPr="00712C0B">
              <w:rPr>
                <w:rFonts w:ascii="Times New Roman" w:hAnsi="Times New Roman"/>
                <w:b/>
                <w:bCs/>
              </w:rPr>
              <w:t>2,295,176.62</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b/>
                <w:bCs/>
                <w:sz w:val="24"/>
                <w:szCs w:val="24"/>
              </w:rPr>
            </w:pPr>
            <w:r w:rsidRPr="00712C0B">
              <w:rPr>
                <w:rFonts w:ascii="Times New Roman" w:hAnsi="Times New Roman"/>
                <w:b/>
                <w:bCs/>
              </w:rPr>
              <w:t>2,412,037.14</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4"/>
                <w:szCs w:val="24"/>
              </w:rPr>
            </w:pPr>
            <w:r w:rsidRPr="00712C0B">
              <w:rPr>
                <w:rFonts w:ascii="Times New Roman" w:hAnsi="Times New Roman"/>
                <w:b/>
                <w:bCs/>
              </w:rPr>
              <w:t>Total Assets</w:t>
            </w:r>
          </w:p>
        </w:tc>
        <w:tc>
          <w:tcPr>
            <w:tcW w:w="1686" w:type="dxa"/>
            <w:tcBorders>
              <w:top w:val="nil"/>
              <w:left w:val="nil"/>
              <w:bottom w:val="nil"/>
              <w:right w:val="nil"/>
            </w:tcBorders>
            <w:shd w:val="clear" w:color="auto" w:fill="auto"/>
            <w:noWrap/>
            <w:vAlign w:val="bottom"/>
            <w:hideMark/>
          </w:tcPr>
          <w:p w:rsidR="00022176" w:rsidRPr="00332F14" w:rsidRDefault="00332F14" w:rsidP="00332F14">
            <w:pPr>
              <w:spacing w:after="0"/>
              <w:jc w:val="right"/>
              <w:rPr>
                <w:rFonts w:ascii="Times New Roman" w:hAnsi="Times New Roman"/>
                <w:b/>
                <w:iCs/>
                <w:szCs w:val="22"/>
              </w:rPr>
            </w:pPr>
            <w:r w:rsidRPr="00332F14">
              <w:rPr>
                <w:rFonts w:ascii="Times New Roman" w:hAnsi="Times New Roman"/>
                <w:b/>
                <w:iCs/>
                <w:szCs w:val="22"/>
              </w:rPr>
              <w:t>2,449,105.38</w:t>
            </w:r>
          </w:p>
        </w:tc>
      </w:tr>
      <w:tr w:rsidR="00022176" w:rsidRPr="00426BCC" w:rsidTr="003C3B63">
        <w:trPr>
          <w:trHeight w:val="300"/>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Cs w:val="22"/>
              </w:rPr>
            </w:pP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Cs w:val="22"/>
              </w:rPr>
            </w:pP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Cs w:val="22"/>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Cs w:val="22"/>
              </w:rPr>
            </w:pP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Cs w:val="22"/>
              </w:rPr>
            </w:pPr>
          </w:p>
        </w:tc>
      </w:tr>
      <w:tr w:rsidR="00022176" w:rsidRPr="00426BCC" w:rsidTr="003C3B63">
        <w:trPr>
          <w:trHeight w:val="37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r w:rsidRPr="00712C0B">
              <w:rPr>
                <w:rFonts w:ascii="Times New Roman" w:hAnsi="Times New Roman"/>
                <w:b/>
                <w:bCs/>
                <w:sz w:val="28"/>
                <w:szCs w:val="28"/>
              </w:rPr>
              <w:t>Liabilities</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b/>
                <w:bCs/>
                <w:sz w:val="28"/>
                <w:szCs w:val="28"/>
              </w:rPr>
            </w:pP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Cs w:val="22"/>
              </w:rPr>
            </w:pPr>
            <w:r w:rsidRPr="00712C0B">
              <w:rPr>
                <w:rFonts w:ascii="Times New Roman" w:hAnsi="Times New Roman"/>
                <w:szCs w:val="22"/>
              </w:rPr>
              <w:t>31,000.00</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Cs w:val="22"/>
              </w:rPr>
            </w:pPr>
            <w:r w:rsidRPr="00712C0B">
              <w:rPr>
                <w:rFonts w:ascii="Times New Roman" w:hAnsi="Times New Roman"/>
                <w:szCs w:val="22"/>
              </w:rPr>
              <w:t>0.00</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Cs w:val="22"/>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Cs w:val="22"/>
              </w:rPr>
            </w:pPr>
            <w:r w:rsidRPr="00712C0B">
              <w:rPr>
                <w:rFonts w:ascii="Times New Roman" w:hAnsi="Times New Roman"/>
                <w:szCs w:val="22"/>
              </w:rPr>
              <w:t>Loans</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Cs w:val="22"/>
              </w:rPr>
            </w:pPr>
            <w:r w:rsidRPr="00712C0B">
              <w:rPr>
                <w:rFonts w:ascii="Times New Roman" w:hAnsi="Times New Roman"/>
                <w:szCs w:val="22"/>
              </w:rPr>
              <w:t>0.00</w:t>
            </w: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4,977.74</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5,782.16</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r w:rsidRPr="00712C0B">
              <w:rPr>
                <w:rFonts w:ascii="Times New Roman" w:hAnsi="Times New Roman"/>
              </w:rPr>
              <w:t>Due to other Quaker org.</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8,250.80</w:t>
            </w:r>
          </w:p>
        </w:tc>
      </w:tr>
      <w:tr w:rsidR="00022176" w:rsidRPr="009F141E" w:rsidTr="003C3B63">
        <w:trPr>
          <w:trHeight w:val="315"/>
        </w:trPr>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138.49</w:t>
            </w:r>
          </w:p>
        </w:tc>
        <w:tc>
          <w:tcPr>
            <w:tcW w:w="182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404.20</w:t>
            </w:r>
          </w:p>
        </w:tc>
        <w:tc>
          <w:tcPr>
            <w:tcW w:w="573"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022176" w:rsidRPr="00712C0B" w:rsidRDefault="00022176" w:rsidP="00022176">
            <w:pPr>
              <w:spacing w:after="0"/>
              <w:rPr>
                <w:rFonts w:ascii="Times New Roman" w:hAnsi="Times New Roman"/>
                <w:sz w:val="24"/>
                <w:szCs w:val="24"/>
              </w:rPr>
            </w:pPr>
            <w:r w:rsidRPr="00712C0B">
              <w:rPr>
                <w:rFonts w:ascii="Times New Roman" w:hAnsi="Times New Roman"/>
              </w:rPr>
              <w:t>GST and other liabilities</w:t>
            </w:r>
          </w:p>
        </w:tc>
        <w:tc>
          <w:tcPr>
            <w:tcW w:w="1686" w:type="dxa"/>
            <w:tcBorders>
              <w:top w:val="nil"/>
              <w:left w:val="nil"/>
              <w:bottom w:val="nil"/>
              <w:right w:val="nil"/>
            </w:tcBorders>
            <w:shd w:val="clear" w:color="auto" w:fill="auto"/>
            <w:noWrap/>
            <w:vAlign w:val="bottom"/>
            <w:hideMark/>
          </w:tcPr>
          <w:p w:rsidR="00022176" w:rsidRPr="00712C0B" w:rsidRDefault="00022176" w:rsidP="00022176">
            <w:pPr>
              <w:spacing w:after="0"/>
              <w:jc w:val="right"/>
              <w:rPr>
                <w:rFonts w:ascii="Times New Roman" w:hAnsi="Times New Roman"/>
                <w:sz w:val="24"/>
                <w:szCs w:val="24"/>
              </w:rPr>
            </w:pPr>
            <w:r w:rsidRPr="00712C0B">
              <w:rPr>
                <w:rFonts w:ascii="Times New Roman" w:hAnsi="Times New Roman"/>
              </w:rPr>
              <w:t>0.03</w:t>
            </w:r>
          </w:p>
        </w:tc>
      </w:tr>
      <w:tr w:rsidR="00332F14" w:rsidRPr="003C3B63"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4"/>
                <w:szCs w:val="24"/>
              </w:rPr>
            </w:pPr>
            <w:r w:rsidRPr="00712C0B">
              <w:rPr>
                <w:rFonts w:ascii="Times New Roman" w:hAnsi="Times New Roman"/>
                <w:b/>
                <w:bCs/>
              </w:rPr>
              <w:t>36,116.23</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4"/>
                <w:szCs w:val="24"/>
              </w:rPr>
            </w:pPr>
            <w:r w:rsidRPr="00712C0B">
              <w:rPr>
                <w:rFonts w:ascii="Times New Roman" w:hAnsi="Times New Roman"/>
                <w:b/>
                <w:bCs/>
              </w:rPr>
              <w:t>6,186.36</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r w:rsidRPr="00712C0B">
              <w:rPr>
                <w:rFonts w:ascii="Times New Roman" w:hAnsi="Times New Roman"/>
                <w:b/>
                <w:bCs/>
              </w:rPr>
              <w:t>Total Liabilities</w:t>
            </w:r>
          </w:p>
        </w:tc>
        <w:tc>
          <w:tcPr>
            <w:tcW w:w="1686" w:type="dxa"/>
            <w:tcBorders>
              <w:top w:val="nil"/>
              <w:left w:val="nil"/>
              <w:bottom w:val="nil"/>
              <w:right w:val="nil"/>
            </w:tcBorders>
            <w:shd w:val="clear" w:color="auto" w:fill="auto"/>
            <w:noWrap/>
            <w:vAlign w:val="bottom"/>
            <w:hideMark/>
          </w:tcPr>
          <w:p w:rsidR="00332F14" w:rsidRPr="00332F14" w:rsidRDefault="00332F14" w:rsidP="005E11AD">
            <w:pPr>
              <w:spacing w:after="0"/>
              <w:jc w:val="right"/>
              <w:rPr>
                <w:rFonts w:ascii="Times New Roman" w:hAnsi="Times New Roman"/>
                <w:b/>
                <w:iCs/>
                <w:szCs w:val="22"/>
              </w:rPr>
            </w:pPr>
            <w:r>
              <w:rPr>
                <w:rFonts w:ascii="Times New Roman" w:hAnsi="Times New Roman"/>
                <w:b/>
                <w:iCs/>
                <w:szCs w:val="22"/>
              </w:rPr>
              <w:t>8,250.83</w:t>
            </w:r>
          </w:p>
        </w:tc>
      </w:tr>
      <w:tr w:rsidR="00332F14" w:rsidRPr="00426BCC" w:rsidTr="003C3B63">
        <w:trPr>
          <w:trHeight w:val="300"/>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r>
      <w:tr w:rsidR="00332F14" w:rsidRPr="00426BCC" w:rsidTr="003C3B63">
        <w:trPr>
          <w:trHeight w:val="37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8"/>
                <w:szCs w:val="28"/>
              </w:rPr>
            </w:pPr>
            <w:r w:rsidRPr="00712C0B">
              <w:rPr>
                <w:rFonts w:ascii="Times New Roman" w:hAnsi="Times New Roman"/>
                <w:b/>
                <w:bCs/>
                <w:sz w:val="28"/>
                <w:szCs w:val="28"/>
              </w:rPr>
              <w:t>2,259,060.39</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8"/>
                <w:szCs w:val="28"/>
              </w:rPr>
            </w:pPr>
            <w:r w:rsidRPr="00712C0B">
              <w:rPr>
                <w:rFonts w:ascii="Times New Roman" w:hAnsi="Times New Roman"/>
                <w:b/>
                <w:bCs/>
                <w:sz w:val="28"/>
                <w:szCs w:val="28"/>
              </w:rPr>
              <w:t>2,405,850.78</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r w:rsidRPr="00712C0B">
              <w:rPr>
                <w:rFonts w:ascii="Times New Roman" w:hAnsi="Times New Roman"/>
                <w:b/>
                <w:bCs/>
                <w:sz w:val="28"/>
                <w:szCs w:val="28"/>
              </w:rPr>
              <w:t>Net Assets</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r>
      <w:tr w:rsidR="00332F14" w:rsidRPr="00426BCC" w:rsidTr="003C3B63">
        <w:trPr>
          <w:trHeight w:val="300"/>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Cs w:val="22"/>
              </w:rPr>
            </w:pPr>
          </w:p>
        </w:tc>
      </w:tr>
      <w:tr w:rsidR="00332F14" w:rsidRPr="00426BCC" w:rsidTr="003C3B63">
        <w:trPr>
          <w:trHeight w:val="37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r w:rsidRPr="00712C0B">
              <w:rPr>
                <w:rFonts w:ascii="Times New Roman" w:hAnsi="Times New Roman"/>
                <w:b/>
                <w:bCs/>
                <w:sz w:val="28"/>
                <w:szCs w:val="28"/>
              </w:rPr>
              <w:t>Administration Funds</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56,565.50</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60,902.44</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General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80,808.45</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-3,252.23</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6,061.90</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Annual Meeting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11,976.71</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5,303.35</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-529.40</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Travel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9,071.44</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343,051.19</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335,259.19</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Reserve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344,469.69</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62,843.60</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77,301.28</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Movement in investment values</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81,999.09</w:t>
            </w:r>
          </w:p>
        </w:tc>
      </w:tr>
      <w:tr w:rsidR="00332F14" w:rsidRPr="003C3B63"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4"/>
                <w:szCs w:val="24"/>
              </w:rPr>
            </w:pPr>
            <w:r w:rsidRPr="00712C0B">
              <w:rPr>
                <w:rFonts w:ascii="Times New Roman" w:hAnsi="Times New Roman"/>
                <w:b/>
                <w:bCs/>
              </w:rPr>
              <w:t>464,511.41</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4"/>
                <w:szCs w:val="24"/>
              </w:rPr>
            </w:pPr>
            <w:r w:rsidRPr="00712C0B">
              <w:rPr>
                <w:rFonts w:ascii="Times New Roman" w:hAnsi="Times New Roman"/>
                <w:b/>
                <w:bCs/>
              </w:rPr>
              <w:t>478,995.41</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1686" w:type="dxa"/>
            <w:tcBorders>
              <w:top w:val="nil"/>
              <w:left w:val="nil"/>
              <w:bottom w:val="nil"/>
              <w:right w:val="nil"/>
            </w:tcBorders>
            <w:shd w:val="clear" w:color="auto" w:fill="auto"/>
            <w:noWrap/>
            <w:vAlign w:val="bottom"/>
            <w:hideMark/>
          </w:tcPr>
          <w:p w:rsidR="00332F14" w:rsidRPr="00332F14" w:rsidRDefault="00332F14" w:rsidP="005E11AD">
            <w:pPr>
              <w:spacing w:after="0"/>
              <w:jc w:val="right"/>
              <w:rPr>
                <w:rFonts w:ascii="Times New Roman" w:hAnsi="Times New Roman"/>
                <w:b/>
                <w:iCs/>
                <w:szCs w:val="22"/>
              </w:rPr>
            </w:pPr>
            <w:r>
              <w:rPr>
                <w:rFonts w:ascii="Times New Roman" w:hAnsi="Times New Roman"/>
                <w:b/>
                <w:iCs/>
                <w:szCs w:val="22"/>
              </w:rPr>
              <w:t>528,325.38</w:t>
            </w:r>
          </w:p>
        </w:tc>
      </w:tr>
      <w:tr w:rsidR="00332F14" w:rsidRPr="00426BCC" w:rsidTr="003C3B63">
        <w:trPr>
          <w:trHeight w:val="37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r w:rsidRPr="00712C0B">
              <w:rPr>
                <w:rFonts w:ascii="Times New Roman" w:hAnsi="Times New Roman"/>
                <w:b/>
                <w:bCs/>
                <w:sz w:val="28"/>
                <w:szCs w:val="28"/>
              </w:rPr>
              <w:t>Other Funds</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140,455.59</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162,782.30</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Peace &amp; Social Justice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173,063.40</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17,803.46</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18,977.46</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Earthcare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19,314.46</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19,792.93</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21,385.85</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First Nations Concerns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14,734.83</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74,977.60</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131,866.87</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Thanksgiving - Current</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79,757.47</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92,011.00</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92,011.00</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Thanksgiving - Capital</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92,011.00</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25,063.79</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29,220.06</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Quaker Learning Australia</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37,517.37</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-11,571.07</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9,220.87</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Publications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4,910.08</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3,498.29</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4,960.67</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Friends in Stitches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5,321.28</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11,977.50</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13,736.96</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Children &amp; JYF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20,417.16</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500.00</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1,137.00</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Carbon Offsets Fund</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1,125.00</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1,400,000.00</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1,400,000.00</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Sanctuary at valuation</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1,400,000.00</w:t>
            </w:r>
          </w:p>
        </w:tc>
      </w:tr>
      <w:tr w:rsidR="00332F14" w:rsidRPr="009F141E"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20,039.89</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41,556.33</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sz w:val="24"/>
                <w:szCs w:val="24"/>
              </w:rPr>
            </w:pPr>
            <w:r w:rsidRPr="00712C0B">
              <w:rPr>
                <w:rFonts w:ascii="Times New Roman" w:hAnsi="Times New Roman"/>
              </w:rPr>
              <w:t>Sanctuary Management</w:t>
            </w: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sz w:val="24"/>
                <w:szCs w:val="24"/>
              </w:rPr>
            </w:pPr>
            <w:r w:rsidRPr="00712C0B">
              <w:rPr>
                <w:rFonts w:ascii="Times New Roman" w:hAnsi="Times New Roman"/>
              </w:rPr>
              <w:t>64,357.12</w:t>
            </w:r>
          </w:p>
        </w:tc>
      </w:tr>
      <w:tr w:rsidR="00332F14" w:rsidRPr="003C3B63"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4"/>
                <w:szCs w:val="24"/>
              </w:rPr>
            </w:pPr>
            <w:r w:rsidRPr="00712C0B">
              <w:rPr>
                <w:rFonts w:ascii="Times New Roman" w:hAnsi="Times New Roman"/>
                <w:b/>
                <w:bCs/>
              </w:rPr>
              <w:t>1,794,548.98</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4"/>
                <w:szCs w:val="24"/>
              </w:rPr>
            </w:pPr>
            <w:r w:rsidRPr="00712C0B">
              <w:rPr>
                <w:rFonts w:ascii="Times New Roman" w:hAnsi="Times New Roman"/>
                <w:b/>
                <w:bCs/>
              </w:rPr>
              <w:t>1,926,855.37</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1686" w:type="dxa"/>
            <w:tcBorders>
              <w:top w:val="nil"/>
              <w:left w:val="nil"/>
              <w:bottom w:val="nil"/>
              <w:right w:val="nil"/>
            </w:tcBorders>
            <w:shd w:val="clear" w:color="auto" w:fill="auto"/>
            <w:noWrap/>
            <w:vAlign w:val="bottom"/>
            <w:hideMark/>
          </w:tcPr>
          <w:p w:rsidR="00332F14" w:rsidRPr="00332F14" w:rsidRDefault="00332F14" w:rsidP="005E11AD">
            <w:pPr>
              <w:spacing w:after="0"/>
              <w:jc w:val="right"/>
              <w:rPr>
                <w:rFonts w:ascii="Times New Roman" w:hAnsi="Times New Roman"/>
                <w:b/>
                <w:iCs/>
                <w:szCs w:val="22"/>
              </w:rPr>
            </w:pPr>
            <w:r>
              <w:rPr>
                <w:rFonts w:ascii="Times New Roman" w:hAnsi="Times New Roman"/>
                <w:b/>
                <w:iCs/>
                <w:szCs w:val="22"/>
              </w:rPr>
              <w:t>1,912,529.17</w:t>
            </w:r>
          </w:p>
        </w:tc>
      </w:tr>
      <w:tr w:rsidR="00332F14" w:rsidRPr="00426BCC" w:rsidTr="003C3B63">
        <w:trPr>
          <w:trHeight w:val="31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c>
          <w:tcPr>
            <w:tcW w:w="1686"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4"/>
                <w:szCs w:val="24"/>
              </w:rPr>
            </w:pPr>
          </w:p>
        </w:tc>
      </w:tr>
      <w:tr w:rsidR="00332F14" w:rsidRPr="00426BCC" w:rsidTr="003C3B63">
        <w:trPr>
          <w:trHeight w:val="375"/>
        </w:trPr>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8"/>
                <w:szCs w:val="28"/>
              </w:rPr>
            </w:pPr>
            <w:r w:rsidRPr="00712C0B">
              <w:rPr>
                <w:rFonts w:ascii="Times New Roman" w:hAnsi="Times New Roman"/>
                <w:b/>
                <w:bCs/>
                <w:sz w:val="28"/>
                <w:szCs w:val="28"/>
              </w:rPr>
              <w:t>2,259,060.39</w:t>
            </w:r>
          </w:p>
        </w:tc>
        <w:tc>
          <w:tcPr>
            <w:tcW w:w="1826" w:type="dxa"/>
            <w:tcBorders>
              <w:top w:val="nil"/>
              <w:left w:val="nil"/>
              <w:bottom w:val="nil"/>
              <w:right w:val="nil"/>
            </w:tcBorders>
            <w:shd w:val="clear" w:color="auto" w:fill="auto"/>
            <w:noWrap/>
            <w:vAlign w:val="bottom"/>
            <w:hideMark/>
          </w:tcPr>
          <w:p w:rsidR="00332F14" w:rsidRPr="00712C0B" w:rsidRDefault="00332F14" w:rsidP="00022176">
            <w:pPr>
              <w:spacing w:after="0"/>
              <w:jc w:val="right"/>
              <w:rPr>
                <w:rFonts w:ascii="Times New Roman" w:hAnsi="Times New Roman"/>
                <w:b/>
                <w:bCs/>
                <w:sz w:val="28"/>
                <w:szCs w:val="28"/>
              </w:rPr>
            </w:pPr>
            <w:r w:rsidRPr="00712C0B">
              <w:rPr>
                <w:rFonts w:ascii="Times New Roman" w:hAnsi="Times New Roman"/>
                <w:b/>
                <w:bCs/>
                <w:sz w:val="28"/>
                <w:szCs w:val="28"/>
              </w:rPr>
              <w:t>2,405,850.78</w:t>
            </w:r>
          </w:p>
        </w:tc>
        <w:tc>
          <w:tcPr>
            <w:tcW w:w="573"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p>
        </w:tc>
        <w:tc>
          <w:tcPr>
            <w:tcW w:w="3367" w:type="dxa"/>
            <w:tcBorders>
              <w:top w:val="nil"/>
              <w:left w:val="nil"/>
              <w:bottom w:val="nil"/>
              <w:right w:val="nil"/>
            </w:tcBorders>
            <w:shd w:val="clear" w:color="auto" w:fill="auto"/>
            <w:noWrap/>
            <w:vAlign w:val="bottom"/>
            <w:hideMark/>
          </w:tcPr>
          <w:p w:rsidR="00332F14" w:rsidRPr="00712C0B" w:rsidRDefault="00332F14" w:rsidP="00022176">
            <w:pPr>
              <w:spacing w:after="0"/>
              <w:rPr>
                <w:rFonts w:ascii="Times New Roman" w:hAnsi="Times New Roman"/>
                <w:b/>
                <w:bCs/>
                <w:sz w:val="28"/>
                <w:szCs w:val="28"/>
              </w:rPr>
            </w:pPr>
            <w:r w:rsidRPr="00712C0B">
              <w:rPr>
                <w:rFonts w:ascii="Times New Roman" w:hAnsi="Times New Roman"/>
                <w:b/>
                <w:bCs/>
                <w:sz w:val="28"/>
                <w:szCs w:val="28"/>
              </w:rPr>
              <w:t>Total Equity</w:t>
            </w:r>
          </w:p>
        </w:tc>
        <w:tc>
          <w:tcPr>
            <w:tcW w:w="1686" w:type="dxa"/>
            <w:tcBorders>
              <w:top w:val="nil"/>
              <w:left w:val="nil"/>
              <w:bottom w:val="nil"/>
              <w:right w:val="nil"/>
            </w:tcBorders>
            <w:shd w:val="clear" w:color="auto" w:fill="auto"/>
            <w:noWrap/>
            <w:vAlign w:val="bottom"/>
            <w:hideMark/>
          </w:tcPr>
          <w:p w:rsidR="00332F14" w:rsidRPr="00332F14" w:rsidRDefault="00332F14" w:rsidP="005E11AD">
            <w:pPr>
              <w:spacing w:after="0"/>
              <w:jc w:val="right"/>
              <w:rPr>
                <w:rFonts w:ascii="Times New Roman" w:hAnsi="Times New Roman"/>
                <w:b/>
                <w:iCs/>
                <w:sz w:val="28"/>
                <w:szCs w:val="28"/>
              </w:rPr>
            </w:pPr>
            <w:r w:rsidRPr="00332F14">
              <w:rPr>
                <w:rFonts w:ascii="Times New Roman" w:hAnsi="Times New Roman"/>
                <w:b/>
                <w:iCs/>
                <w:sz w:val="28"/>
                <w:szCs w:val="28"/>
              </w:rPr>
              <w:t>2,440,854.55</w:t>
            </w:r>
          </w:p>
        </w:tc>
      </w:tr>
    </w:tbl>
    <w:p w:rsidR="0043489B" w:rsidRPr="00A460F6" w:rsidRDefault="0043489B" w:rsidP="0043489B">
      <w:pPr>
        <w:spacing w:after="0"/>
        <w:jc w:val="center"/>
        <w:rPr>
          <w:rFonts w:ascii="Times New Roman" w:hAnsi="Times New Roman"/>
          <w:sz w:val="28"/>
          <w:szCs w:val="28"/>
          <w:lang w:eastAsia="en-AU"/>
        </w:rPr>
      </w:pPr>
      <w:r>
        <w:rPr>
          <w:rFonts w:ascii="Times New Roman" w:hAnsi="Times New Roman"/>
          <w:lang w:eastAsia="en-AU"/>
        </w:rPr>
        <w:br w:type="page"/>
      </w:r>
      <w:r w:rsidRPr="00A460F6">
        <w:rPr>
          <w:rFonts w:ascii="Times New Roman" w:hAnsi="Times New Roman"/>
          <w:b/>
          <w:bCs/>
          <w:sz w:val="28"/>
          <w:szCs w:val="28"/>
          <w:lang w:eastAsia="en-AU"/>
        </w:rPr>
        <w:lastRenderedPageBreak/>
        <w:t xml:space="preserve">Income and outgo of </w:t>
      </w:r>
      <w:r>
        <w:rPr>
          <w:rFonts w:ascii="Times New Roman" w:hAnsi="Times New Roman"/>
          <w:b/>
          <w:bCs/>
          <w:sz w:val="28"/>
          <w:szCs w:val="28"/>
          <w:lang w:eastAsia="en-AU"/>
        </w:rPr>
        <w:t xml:space="preserve">all </w:t>
      </w:r>
      <w:r w:rsidRPr="00A460F6">
        <w:rPr>
          <w:rFonts w:ascii="Times New Roman" w:hAnsi="Times New Roman"/>
          <w:b/>
          <w:bCs/>
          <w:sz w:val="28"/>
          <w:szCs w:val="28"/>
          <w:lang w:eastAsia="en-AU"/>
        </w:rPr>
        <w:t>Funds for the year ended 30 September 20</w:t>
      </w:r>
      <w:r w:rsidR="00A94F42">
        <w:rPr>
          <w:rFonts w:ascii="Times New Roman" w:hAnsi="Times New Roman"/>
          <w:b/>
          <w:bCs/>
          <w:sz w:val="28"/>
          <w:szCs w:val="28"/>
          <w:lang w:eastAsia="en-AU"/>
        </w:rPr>
        <w:t>20</w:t>
      </w:r>
    </w:p>
    <w:p w:rsidR="0043489B" w:rsidRDefault="0043489B" w:rsidP="0043489B"/>
    <w:tbl>
      <w:tblPr>
        <w:tblW w:w="9057" w:type="dxa"/>
        <w:tblInd w:w="567" w:type="dxa"/>
        <w:tblLook w:val="04A0" w:firstRow="1" w:lastRow="0" w:firstColumn="1" w:lastColumn="0" w:noHBand="0" w:noVBand="1"/>
      </w:tblPr>
      <w:tblGrid>
        <w:gridCol w:w="3224"/>
        <w:gridCol w:w="1501"/>
        <w:gridCol w:w="1318"/>
        <w:gridCol w:w="1513"/>
        <w:gridCol w:w="1501"/>
      </w:tblGrid>
      <w:tr w:rsidR="0043489B" w:rsidRPr="0090301F" w:rsidTr="00A94F42">
        <w:trPr>
          <w:trHeight w:val="315"/>
        </w:trPr>
        <w:tc>
          <w:tcPr>
            <w:tcW w:w="3224"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Amount at</w:t>
            </w:r>
          </w:p>
        </w:tc>
        <w:tc>
          <w:tcPr>
            <w:tcW w:w="1318"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p>
        </w:tc>
        <w:tc>
          <w:tcPr>
            <w:tcW w:w="1513"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Amount</w:t>
            </w:r>
          </w:p>
        </w:tc>
      </w:tr>
      <w:tr w:rsidR="0043489B" w:rsidRPr="0090301F" w:rsidTr="00A94F42">
        <w:trPr>
          <w:trHeight w:val="315"/>
        </w:trPr>
        <w:tc>
          <w:tcPr>
            <w:tcW w:w="3224"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beginning</w:t>
            </w:r>
          </w:p>
        </w:tc>
        <w:tc>
          <w:tcPr>
            <w:tcW w:w="1318"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Income</w:t>
            </w:r>
          </w:p>
        </w:tc>
        <w:tc>
          <w:tcPr>
            <w:tcW w:w="1513"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Outgo</w:t>
            </w:r>
          </w:p>
        </w:tc>
        <w:tc>
          <w:tcPr>
            <w:tcW w:w="1501"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at end</w:t>
            </w:r>
          </w:p>
        </w:tc>
      </w:tr>
      <w:tr w:rsidR="0043489B" w:rsidRPr="0090301F" w:rsidTr="00A94F42">
        <w:trPr>
          <w:trHeight w:val="315"/>
        </w:trPr>
        <w:tc>
          <w:tcPr>
            <w:tcW w:w="3224"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$.cc</w:t>
            </w:r>
          </w:p>
        </w:tc>
        <w:tc>
          <w:tcPr>
            <w:tcW w:w="1318"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$.cc</w:t>
            </w:r>
          </w:p>
        </w:tc>
        <w:tc>
          <w:tcPr>
            <w:tcW w:w="1513"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$.cc</w:t>
            </w:r>
          </w:p>
        </w:tc>
        <w:tc>
          <w:tcPr>
            <w:tcW w:w="1501" w:type="dxa"/>
            <w:tcBorders>
              <w:top w:val="nil"/>
              <w:left w:val="nil"/>
              <w:bottom w:val="nil"/>
              <w:right w:val="nil"/>
            </w:tcBorders>
            <w:shd w:val="clear" w:color="auto" w:fill="auto"/>
            <w:noWrap/>
            <w:vAlign w:val="bottom"/>
            <w:hideMark/>
          </w:tcPr>
          <w:p w:rsidR="0043489B" w:rsidRPr="00712C0B" w:rsidRDefault="0043489B" w:rsidP="0043489B">
            <w:pPr>
              <w:spacing w:after="0"/>
              <w:jc w:val="right"/>
              <w:rPr>
                <w:rFonts w:ascii="Times New Roman" w:hAnsi="Times New Roman"/>
                <w:b/>
                <w:bCs/>
                <w:szCs w:val="22"/>
                <w:lang w:eastAsia="en-AU"/>
              </w:rPr>
            </w:pPr>
            <w:r w:rsidRPr="00712C0B">
              <w:rPr>
                <w:rFonts w:ascii="Times New Roman" w:hAnsi="Times New Roman"/>
                <w:b/>
                <w:bCs/>
                <w:szCs w:val="22"/>
                <w:lang w:eastAsia="en-AU"/>
              </w:rPr>
              <w:t>$.cc</w:t>
            </w:r>
          </w:p>
        </w:tc>
      </w:tr>
      <w:tr w:rsidR="0090301F" w:rsidRPr="0090301F" w:rsidTr="00A94F42">
        <w:trPr>
          <w:trHeight w:val="315"/>
        </w:trPr>
        <w:tc>
          <w:tcPr>
            <w:tcW w:w="3224" w:type="dxa"/>
            <w:tcBorders>
              <w:top w:val="nil"/>
              <w:left w:val="nil"/>
              <w:bottom w:val="nil"/>
              <w:right w:val="nil"/>
            </w:tcBorders>
            <w:shd w:val="clear" w:color="auto" w:fill="auto"/>
            <w:noWrap/>
            <w:vAlign w:val="bottom"/>
            <w:hideMark/>
          </w:tcPr>
          <w:p w:rsidR="0090301F" w:rsidRPr="00712C0B" w:rsidRDefault="0090301F" w:rsidP="0043489B">
            <w:pPr>
              <w:spacing w:after="0"/>
              <w:jc w:val="left"/>
              <w:rPr>
                <w:rFonts w:ascii="Times New Roman" w:hAnsi="Times New Roman"/>
                <w:b/>
                <w:bCs/>
                <w:szCs w:val="22"/>
                <w:lang w:eastAsia="en-AU"/>
              </w:rPr>
            </w:pPr>
            <w:r w:rsidRPr="00712C0B">
              <w:rPr>
                <w:rFonts w:ascii="Times New Roman" w:hAnsi="Times New Roman"/>
                <w:b/>
                <w:bCs/>
                <w:szCs w:val="22"/>
                <w:lang w:eastAsia="en-AU"/>
              </w:rPr>
              <w:t>Administration Funds</w:t>
            </w:r>
          </w:p>
        </w:tc>
        <w:tc>
          <w:tcPr>
            <w:tcW w:w="1501" w:type="dxa"/>
            <w:tcBorders>
              <w:top w:val="nil"/>
              <w:left w:val="nil"/>
              <w:bottom w:val="nil"/>
              <w:right w:val="nil"/>
            </w:tcBorders>
            <w:shd w:val="clear" w:color="auto" w:fill="auto"/>
            <w:noWrap/>
            <w:vAlign w:val="bottom"/>
            <w:hideMark/>
          </w:tcPr>
          <w:p w:rsidR="0090301F" w:rsidRPr="00712C0B" w:rsidRDefault="0090301F" w:rsidP="0090301F">
            <w:pPr>
              <w:spacing w:after="0"/>
              <w:rPr>
                <w:rFonts w:ascii="Times New Roman" w:hAnsi="Times New Roman"/>
                <w:szCs w:val="22"/>
              </w:rPr>
            </w:pPr>
          </w:p>
        </w:tc>
        <w:tc>
          <w:tcPr>
            <w:tcW w:w="1318" w:type="dxa"/>
            <w:tcBorders>
              <w:top w:val="nil"/>
              <w:left w:val="nil"/>
              <w:bottom w:val="nil"/>
              <w:right w:val="nil"/>
            </w:tcBorders>
            <w:shd w:val="clear" w:color="auto" w:fill="auto"/>
            <w:noWrap/>
            <w:vAlign w:val="bottom"/>
            <w:hideMark/>
          </w:tcPr>
          <w:p w:rsidR="0090301F" w:rsidRPr="00712C0B" w:rsidRDefault="0090301F" w:rsidP="0090301F">
            <w:pPr>
              <w:spacing w:after="0"/>
              <w:rPr>
                <w:rFonts w:ascii="Times New Roman" w:hAnsi="Times New Roman"/>
                <w:szCs w:val="22"/>
              </w:rPr>
            </w:pPr>
          </w:p>
        </w:tc>
        <w:tc>
          <w:tcPr>
            <w:tcW w:w="1513" w:type="dxa"/>
            <w:tcBorders>
              <w:top w:val="nil"/>
              <w:left w:val="nil"/>
              <w:bottom w:val="nil"/>
              <w:right w:val="nil"/>
            </w:tcBorders>
            <w:shd w:val="clear" w:color="auto" w:fill="auto"/>
            <w:noWrap/>
            <w:vAlign w:val="bottom"/>
            <w:hideMark/>
          </w:tcPr>
          <w:p w:rsidR="0090301F" w:rsidRPr="00712C0B" w:rsidRDefault="0090301F" w:rsidP="0090301F">
            <w:pPr>
              <w:spacing w:after="0"/>
              <w:rPr>
                <w:rFonts w:ascii="Times New Roman" w:hAnsi="Times New Roman"/>
                <w:szCs w:val="22"/>
              </w:rPr>
            </w:pPr>
          </w:p>
        </w:tc>
        <w:tc>
          <w:tcPr>
            <w:tcW w:w="1501" w:type="dxa"/>
            <w:tcBorders>
              <w:top w:val="nil"/>
              <w:left w:val="nil"/>
              <w:bottom w:val="nil"/>
              <w:right w:val="nil"/>
            </w:tcBorders>
            <w:shd w:val="clear" w:color="auto" w:fill="auto"/>
            <w:noWrap/>
            <w:vAlign w:val="bottom"/>
            <w:hideMark/>
          </w:tcPr>
          <w:p w:rsidR="0090301F" w:rsidRPr="00712C0B" w:rsidRDefault="0090301F" w:rsidP="0090301F">
            <w:pPr>
              <w:spacing w:after="0"/>
              <w:rPr>
                <w:rFonts w:ascii="Times New Roman" w:hAnsi="Times New Roman"/>
                <w:szCs w:val="22"/>
              </w:rPr>
            </w:pP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General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60,902.44</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195,265.62</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-175,359.61</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80,808.45</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Annual Meeting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6,061.90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7,000.00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-1,085.19</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11,976.71</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Travel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-529.40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18,000.00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-8,399.16</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9,071.44</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Reserve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335,259.19</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14,795.00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-5,584.50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344,469.69</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Movement in investment values</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77,301.28</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30,015.00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-25,317.19</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81,999.09</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478,995.41</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265,075.62</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-215,745.65</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528,325.38</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r>
      <w:tr w:rsidR="00A94F42" w:rsidRPr="0090301F" w:rsidTr="00A94F42">
        <w:trPr>
          <w:trHeight w:val="315"/>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b/>
                <w:bCs/>
                <w:szCs w:val="22"/>
                <w:lang w:eastAsia="en-AU"/>
              </w:rPr>
            </w:pPr>
            <w:r w:rsidRPr="00712C0B">
              <w:rPr>
                <w:rFonts w:ascii="Times New Roman" w:hAnsi="Times New Roman"/>
                <w:b/>
                <w:bCs/>
                <w:szCs w:val="22"/>
                <w:lang w:eastAsia="en-AU"/>
              </w:rPr>
              <w:t>Other Funds</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 w:val="24"/>
                <w:szCs w:val="24"/>
              </w:rPr>
            </w:pP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 w:val="24"/>
                <w:szCs w:val="24"/>
              </w:rPr>
            </w:pP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 w:val="24"/>
                <w:szCs w:val="24"/>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Peace &amp; Social Justice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162,782.30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10,281.10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0.00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173,063.40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Earthcare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18,977.46</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1,237.00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-900.00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19,314.46</w:t>
            </w:r>
          </w:p>
        </w:tc>
      </w:tr>
      <w:tr w:rsidR="00A94F42" w:rsidRPr="0090301F" w:rsidTr="00A94F42">
        <w:trPr>
          <w:trHeight w:val="315"/>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First Nations Concerns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21,385.85</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4,338.98</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-10,990.00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14,734.83</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Thanksgiving Fund - Current</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131,866.87</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17,302.00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-69,411.40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79,757.47</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Thanksgiving Fund - Capital</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92,011.00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0.00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0.00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92,011.00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Quaker Learning Australia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29,220.06</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9,014.00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-716.69</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37,517.37</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Publications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9,220.87</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15,396.93</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-19,707.72</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4,910.08</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Friends in Stitches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4,960.67</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987.18</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-626.57</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5,321.28</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Children &amp; JYF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13,736.96</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21,888.02</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-15,207.82</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20,417.16</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Carbon Offsets Fund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1,137.00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1,125.00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-1,137.00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1,125.00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 xml:space="preserve">The Sanctuary at </w:t>
            </w:r>
            <w:proofErr w:type="spellStart"/>
            <w:r w:rsidRPr="00712C0B">
              <w:rPr>
                <w:rFonts w:ascii="Times New Roman" w:hAnsi="Times New Roman"/>
                <w:szCs w:val="22"/>
                <w:lang w:eastAsia="en-AU"/>
              </w:rPr>
              <w:t>valn</w:t>
            </w:r>
            <w:proofErr w:type="spellEnd"/>
            <w:r w:rsidRPr="00712C0B">
              <w:rPr>
                <w:rFonts w:ascii="Times New Roman" w:hAnsi="Times New Roman"/>
                <w:szCs w:val="22"/>
                <w:lang w:eastAsia="en-AU"/>
              </w:rPr>
              <w:t>. 2014</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1,400,000.00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0.00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0.00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1,400,000.00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Sanctuary Management</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41,556.33</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29,928.77</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-7,127.98</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64,357.12</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1,926,855.37</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111,498.98</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-125,825.18</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1,912,529.17</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b/>
                <w:bCs/>
                <w:szCs w:val="22"/>
                <w:lang w:eastAsia="en-AU"/>
              </w:rPr>
            </w:pPr>
            <w:r w:rsidRPr="00712C0B">
              <w:rPr>
                <w:rFonts w:ascii="Times New Roman" w:hAnsi="Times New Roman"/>
                <w:b/>
                <w:bCs/>
                <w:szCs w:val="22"/>
                <w:lang w:eastAsia="en-AU"/>
              </w:rPr>
              <w:t>Total Funds</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2,405,850.78</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376,574.60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-341,570.83</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2,440,854.55</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b/>
                <w:bCs/>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b/>
                <w:bCs/>
                <w:szCs w:val="22"/>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Cs w:val="22"/>
              </w:rPr>
            </w:pPr>
          </w:p>
        </w:tc>
      </w:tr>
      <w:tr w:rsidR="00A94F42" w:rsidRPr="0090301F" w:rsidTr="00A94F42">
        <w:trPr>
          <w:trHeight w:val="315"/>
        </w:trPr>
        <w:tc>
          <w:tcPr>
            <w:tcW w:w="4725" w:type="dxa"/>
            <w:gridSpan w:val="2"/>
            <w:tcBorders>
              <w:top w:val="nil"/>
              <w:left w:val="nil"/>
              <w:bottom w:val="nil"/>
              <w:right w:val="nil"/>
            </w:tcBorders>
            <w:shd w:val="clear" w:color="auto" w:fill="auto"/>
            <w:noWrap/>
            <w:vAlign w:val="bottom"/>
            <w:hideMark/>
          </w:tcPr>
          <w:p w:rsidR="00A94F42" w:rsidRPr="00712C0B" w:rsidRDefault="00A94F42" w:rsidP="00A94F42">
            <w:pPr>
              <w:spacing w:after="0"/>
              <w:jc w:val="left"/>
              <w:rPr>
                <w:rFonts w:ascii="Times New Roman" w:hAnsi="Times New Roman"/>
                <w:b/>
                <w:bCs/>
                <w:szCs w:val="22"/>
                <w:lang w:eastAsia="en-AU"/>
              </w:rPr>
            </w:pPr>
            <w:r w:rsidRPr="00712C0B">
              <w:rPr>
                <w:rFonts w:ascii="Times New Roman" w:hAnsi="Times New Roman"/>
                <w:b/>
                <w:bCs/>
                <w:szCs w:val="22"/>
                <w:lang w:eastAsia="en-AU"/>
              </w:rPr>
              <w:t>Held on behalf of other Quaker organisations</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 w:val="24"/>
                <w:szCs w:val="24"/>
              </w:rPr>
            </w:pP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 w:val="24"/>
                <w:szCs w:val="24"/>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rPr>
                <w:rFonts w:ascii="Times New Roman" w:hAnsi="Times New Roman"/>
                <w:sz w:val="24"/>
                <w:szCs w:val="24"/>
              </w:rPr>
            </w:pP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FWCC Asia/West Pacific</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2,018.17</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2,835.40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-2,018.18</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2,835.39</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FWCC World</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1,179.01</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1,832.00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-1,179.00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1,832.01</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FWCC QUNO</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2,064.98</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2,190.40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-2,064.98</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2,190.40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Woodbrooke</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30.00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120.00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-30.00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120.00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Pendle Hill</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10.00</w:t>
            </w:r>
          </w:p>
        </w:tc>
        <w:tc>
          <w:tcPr>
            <w:tcW w:w="1318"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110.00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-10.00</w:t>
            </w: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110.00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Australian Young Friends</w:t>
            </w:r>
          </w:p>
        </w:tc>
        <w:tc>
          <w:tcPr>
            <w:tcW w:w="1501"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480.00</w:t>
            </w:r>
          </w:p>
        </w:tc>
        <w:tc>
          <w:tcPr>
            <w:tcW w:w="1318"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550.00</w:t>
            </w:r>
          </w:p>
        </w:tc>
        <w:tc>
          <w:tcPr>
            <w:tcW w:w="1513"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-477.00</w:t>
            </w:r>
          </w:p>
        </w:tc>
        <w:tc>
          <w:tcPr>
            <w:tcW w:w="1501"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553.00</w:t>
            </w:r>
          </w:p>
        </w:tc>
      </w:tr>
      <w:tr w:rsidR="00A94F42" w:rsidRPr="0090301F" w:rsidTr="00A94F42">
        <w:trPr>
          <w:trHeight w:val="300"/>
        </w:trPr>
        <w:tc>
          <w:tcPr>
            <w:tcW w:w="3224" w:type="dxa"/>
            <w:tcBorders>
              <w:top w:val="nil"/>
              <w:left w:val="nil"/>
              <w:bottom w:val="nil"/>
              <w:right w:val="nil"/>
            </w:tcBorders>
            <w:shd w:val="clear" w:color="auto" w:fill="auto"/>
            <w:noWrap/>
            <w:vAlign w:val="bottom"/>
          </w:tcPr>
          <w:p w:rsidR="00A94F42" w:rsidRPr="00712C0B" w:rsidRDefault="00A94F42" w:rsidP="0043489B">
            <w:pPr>
              <w:spacing w:after="0"/>
              <w:jc w:val="left"/>
              <w:rPr>
                <w:rFonts w:ascii="Times New Roman" w:hAnsi="Times New Roman"/>
                <w:szCs w:val="22"/>
                <w:lang w:eastAsia="en-AU"/>
              </w:rPr>
            </w:pPr>
            <w:r w:rsidRPr="00712C0B">
              <w:rPr>
                <w:rFonts w:ascii="Times New Roman" w:hAnsi="Times New Roman"/>
                <w:szCs w:val="22"/>
                <w:lang w:eastAsia="en-AU"/>
              </w:rPr>
              <w:t>Friends Fellowship of Healing</w:t>
            </w:r>
          </w:p>
        </w:tc>
        <w:tc>
          <w:tcPr>
            <w:tcW w:w="1501"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0.00</w:t>
            </w:r>
          </w:p>
        </w:tc>
        <w:tc>
          <w:tcPr>
            <w:tcW w:w="1318"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50.00</w:t>
            </w:r>
          </w:p>
        </w:tc>
        <w:tc>
          <w:tcPr>
            <w:tcW w:w="1513"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0.00</w:t>
            </w:r>
          </w:p>
        </w:tc>
        <w:tc>
          <w:tcPr>
            <w:tcW w:w="1501" w:type="dxa"/>
            <w:tcBorders>
              <w:top w:val="nil"/>
              <w:left w:val="nil"/>
              <w:bottom w:val="nil"/>
              <w:right w:val="nil"/>
            </w:tcBorders>
            <w:shd w:val="clear" w:color="auto" w:fill="auto"/>
            <w:noWrap/>
            <w:vAlign w:val="bottom"/>
          </w:tcPr>
          <w:p w:rsidR="00A94F42" w:rsidRPr="00712C0B" w:rsidRDefault="00A94F42" w:rsidP="00A94F42">
            <w:pPr>
              <w:spacing w:after="0"/>
              <w:jc w:val="right"/>
              <w:rPr>
                <w:rFonts w:ascii="Times New Roman" w:hAnsi="Times New Roman"/>
                <w:szCs w:val="22"/>
              </w:rPr>
            </w:pPr>
            <w:r w:rsidRPr="00712C0B">
              <w:rPr>
                <w:rFonts w:ascii="Times New Roman" w:hAnsi="Times New Roman"/>
                <w:szCs w:val="22"/>
              </w:rPr>
              <w:t>50.00</w:t>
            </w:r>
          </w:p>
        </w:tc>
      </w:tr>
      <w:tr w:rsidR="00A15F6A" w:rsidRPr="0090301F" w:rsidTr="00A94F42">
        <w:trPr>
          <w:trHeight w:val="300"/>
        </w:trPr>
        <w:tc>
          <w:tcPr>
            <w:tcW w:w="3224" w:type="dxa"/>
            <w:tcBorders>
              <w:top w:val="nil"/>
              <w:left w:val="nil"/>
              <w:bottom w:val="nil"/>
              <w:right w:val="nil"/>
            </w:tcBorders>
            <w:shd w:val="clear" w:color="auto" w:fill="auto"/>
            <w:noWrap/>
            <w:vAlign w:val="bottom"/>
          </w:tcPr>
          <w:p w:rsidR="00A15F6A" w:rsidRPr="00712C0B" w:rsidRDefault="002A7033" w:rsidP="0043489B">
            <w:pPr>
              <w:spacing w:after="0"/>
              <w:jc w:val="left"/>
              <w:rPr>
                <w:rFonts w:ascii="Times New Roman" w:hAnsi="Times New Roman"/>
                <w:szCs w:val="22"/>
                <w:lang w:eastAsia="en-AU"/>
              </w:rPr>
            </w:pPr>
            <w:r>
              <w:rPr>
                <w:rFonts w:ascii="Times New Roman" w:hAnsi="Times New Roman"/>
                <w:szCs w:val="22"/>
                <w:lang w:eastAsia="en-AU"/>
              </w:rPr>
              <w:t>Friends Peace Teams</w:t>
            </w:r>
          </w:p>
        </w:tc>
        <w:tc>
          <w:tcPr>
            <w:tcW w:w="1501" w:type="dxa"/>
            <w:tcBorders>
              <w:top w:val="nil"/>
              <w:left w:val="nil"/>
              <w:bottom w:val="nil"/>
              <w:right w:val="nil"/>
            </w:tcBorders>
            <w:shd w:val="clear" w:color="auto" w:fill="auto"/>
            <w:noWrap/>
            <w:vAlign w:val="bottom"/>
          </w:tcPr>
          <w:p w:rsidR="00A15F6A" w:rsidRPr="00712C0B" w:rsidRDefault="002A7033" w:rsidP="00A94F42">
            <w:pPr>
              <w:spacing w:after="0"/>
              <w:jc w:val="right"/>
              <w:rPr>
                <w:rFonts w:ascii="Times New Roman" w:hAnsi="Times New Roman"/>
                <w:szCs w:val="22"/>
              </w:rPr>
            </w:pPr>
            <w:r>
              <w:rPr>
                <w:rFonts w:ascii="Times New Roman" w:hAnsi="Times New Roman"/>
                <w:szCs w:val="22"/>
              </w:rPr>
              <w:t>0.00</w:t>
            </w:r>
          </w:p>
        </w:tc>
        <w:tc>
          <w:tcPr>
            <w:tcW w:w="1318" w:type="dxa"/>
            <w:tcBorders>
              <w:top w:val="nil"/>
              <w:left w:val="nil"/>
              <w:bottom w:val="nil"/>
              <w:right w:val="nil"/>
            </w:tcBorders>
            <w:shd w:val="clear" w:color="auto" w:fill="auto"/>
            <w:noWrap/>
            <w:vAlign w:val="bottom"/>
          </w:tcPr>
          <w:p w:rsidR="00A15F6A" w:rsidRPr="00712C0B" w:rsidRDefault="002A7033" w:rsidP="00A94F42">
            <w:pPr>
              <w:spacing w:after="0"/>
              <w:jc w:val="right"/>
              <w:rPr>
                <w:rFonts w:ascii="Times New Roman" w:hAnsi="Times New Roman"/>
                <w:szCs w:val="22"/>
              </w:rPr>
            </w:pPr>
            <w:r>
              <w:rPr>
                <w:rFonts w:ascii="Times New Roman" w:hAnsi="Times New Roman"/>
                <w:szCs w:val="22"/>
              </w:rPr>
              <w:t>560.00</w:t>
            </w:r>
          </w:p>
        </w:tc>
        <w:tc>
          <w:tcPr>
            <w:tcW w:w="1513" w:type="dxa"/>
            <w:tcBorders>
              <w:top w:val="nil"/>
              <w:left w:val="nil"/>
              <w:bottom w:val="nil"/>
              <w:right w:val="nil"/>
            </w:tcBorders>
            <w:shd w:val="clear" w:color="auto" w:fill="auto"/>
            <w:noWrap/>
            <w:vAlign w:val="bottom"/>
          </w:tcPr>
          <w:p w:rsidR="00A15F6A" w:rsidRPr="00712C0B" w:rsidRDefault="002A7033" w:rsidP="00A94F42">
            <w:pPr>
              <w:spacing w:after="0"/>
              <w:jc w:val="right"/>
              <w:rPr>
                <w:rFonts w:ascii="Times New Roman" w:hAnsi="Times New Roman"/>
                <w:szCs w:val="22"/>
              </w:rPr>
            </w:pPr>
            <w:r>
              <w:rPr>
                <w:rFonts w:ascii="Times New Roman" w:hAnsi="Times New Roman"/>
                <w:szCs w:val="22"/>
              </w:rPr>
              <w:t>0.00</w:t>
            </w:r>
          </w:p>
        </w:tc>
        <w:tc>
          <w:tcPr>
            <w:tcW w:w="1501" w:type="dxa"/>
            <w:tcBorders>
              <w:top w:val="nil"/>
              <w:left w:val="nil"/>
              <w:bottom w:val="nil"/>
              <w:right w:val="nil"/>
            </w:tcBorders>
            <w:shd w:val="clear" w:color="auto" w:fill="auto"/>
            <w:noWrap/>
            <w:vAlign w:val="bottom"/>
          </w:tcPr>
          <w:p w:rsidR="00A15F6A" w:rsidRPr="00712C0B" w:rsidRDefault="002A7033" w:rsidP="00A94F42">
            <w:pPr>
              <w:spacing w:after="0"/>
              <w:jc w:val="right"/>
              <w:rPr>
                <w:rFonts w:ascii="Times New Roman" w:hAnsi="Times New Roman"/>
                <w:szCs w:val="22"/>
              </w:rPr>
            </w:pPr>
            <w:r>
              <w:rPr>
                <w:rFonts w:ascii="Times New Roman" w:hAnsi="Times New Roman"/>
                <w:szCs w:val="22"/>
              </w:rPr>
              <w:t>560.00</w:t>
            </w:r>
          </w:p>
        </w:tc>
      </w:tr>
      <w:tr w:rsidR="00A94F42" w:rsidRPr="0090301F" w:rsidTr="00A94F42">
        <w:trPr>
          <w:trHeight w:val="300"/>
        </w:trPr>
        <w:tc>
          <w:tcPr>
            <w:tcW w:w="3224" w:type="dxa"/>
            <w:tcBorders>
              <w:top w:val="nil"/>
              <w:left w:val="nil"/>
              <w:bottom w:val="nil"/>
              <w:right w:val="nil"/>
            </w:tcBorders>
            <w:shd w:val="clear" w:color="auto" w:fill="auto"/>
            <w:noWrap/>
            <w:vAlign w:val="bottom"/>
            <w:hideMark/>
          </w:tcPr>
          <w:p w:rsidR="00A94F42" w:rsidRPr="00712C0B" w:rsidRDefault="00A94F42" w:rsidP="0043489B">
            <w:pPr>
              <w:spacing w:after="0"/>
              <w:jc w:val="left"/>
              <w:rPr>
                <w:rFonts w:ascii="Times New Roman" w:hAnsi="Times New Roman"/>
                <w:szCs w:val="22"/>
                <w:lang w:eastAsia="en-AU"/>
              </w:rPr>
            </w:pPr>
          </w:p>
        </w:tc>
        <w:tc>
          <w:tcPr>
            <w:tcW w:w="1501"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5,782.16</w:t>
            </w:r>
          </w:p>
        </w:tc>
        <w:tc>
          <w:tcPr>
            <w:tcW w:w="1318" w:type="dxa"/>
            <w:tcBorders>
              <w:top w:val="nil"/>
              <w:left w:val="nil"/>
              <w:bottom w:val="nil"/>
              <w:right w:val="nil"/>
            </w:tcBorders>
            <w:shd w:val="clear" w:color="auto" w:fill="auto"/>
            <w:noWrap/>
            <w:vAlign w:val="bottom"/>
            <w:hideMark/>
          </w:tcPr>
          <w:p w:rsidR="00A94F42" w:rsidRPr="00712C0B" w:rsidRDefault="002A7033" w:rsidP="00A94F42">
            <w:pPr>
              <w:spacing w:after="0"/>
              <w:jc w:val="right"/>
              <w:rPr>
                <w:rFonts w:ascii="Times New Roman" w:hAnsi="Times New Roman"/>
                <w:b/>
                <w:bCs/>
                <w:szCs w:val="22"/>
              </w:rPr>
            </w:pPr>
            <w:r>
              <w:rPr>
                <w:rFonts w:ascii="Times New Roman" w:hAnsi="Times New Roman"/>
                <w:b/>
                <w:bCs/>
                <w:szCs w:val="22"/>
              </w:rPr>
              <w:t>78,24</w:t>
            </w:r>
            <w:r w:rsidR="00A94F42" w:rsidRPr="00712C0B">
              <w:rPr>
                <w:rFonts w:ascii="Times New Roman" w:hAnsi="Times New Roman"/>
                <w:b/>
                <w:bCs/>
                <w:szCs w:val="22"/>
              </w:rPr>
              <w:t>7.80</w:t>
            </w:r>
          </w:p>
        </w:tc>
        <w:tc>
          <w:tcPr>
            <w:tcW w:w="1513" w:type="dxa"/>
            <w:tcBorders>
              <w:top w:val="nil"/>
              <w:left w:val="nil"/>
              <w:bottom w:val="nil"/>
              <w:right w:val="nil"/>
            </w:tcBorders>
            <w:shd w:val="clear" w:color="auto" w:fill="auto"/>
            <w:noWrap/>
            <w:vAlign w:val="bottom"/>
            <w:hideMark/>
          </w:tcPr>
          <w:p w:rsidR="00A94F42" w:rsidRPr="00712C0B" w:rsidRDefault="00A94F42" w:rsidP="00A94F42">
            <w:pPr>
              <w:spacing w:after="0"/>
              <w:jc w:val="right"/>
              <w:rPr>
                <w:rFonts w:ascii="Times New Roman" w:hAnsi="Times New Roman"/>
                <w:b/>
                <w:bCs/>
                <w:szCs w:val="22"/>
              </w:rPr>
            </w:pPr>
            <w:r w:rsidRPr="00712C0B">
              <w:rPr>
                <w:rFonts w:ascii="Times New Roman" w:hAnsi="Times New Roman"/>
                <w:b/>
                <w:bCs/>
                <w:szCs w:val="22"/>
              </w:rPr>
              <w:t>-5,779.16</w:t>
            </w:r>
          </w:p>
        </w:tc>
        <w:tc>
          <w:tcPr>
            <w:tcW w:w="1501" w:type="dxa"/>
            <w:tcBorders>
              <w:top w:val="nil"/>
              <w:left w:val="nil"/>
              <w:bottom w:val="nil"/>
              <w:right w:val="nil"/>
            </w:tcBorders>
            <w:shd w:val="clear" w:color="auto" w:fill="auto"/>
            <w:noWrap/>
            <w:vAlign w:val="bottom"/>
            <w:hideMark/>
          </w:tcPr>
          <w:p w:rsidR="00A94F42" w:rsidRPr="00712C0B" w:rsidRDefault="002A7033" w:rsidP="00A94F42">
            <w:pPr>
              <w:spacing w:after="0"/>
              <w:jc w:val="right"/>
              <w:rPr>
                <w:rFonts w:ascii="Times New Roman" w:hAnsi="Times New Roman"/>
                <w:b/>
                <w:bCs/>
                <w:szCs w:val="22"/>
              </w:rPr>
            </w:pPr>
            <w:r>
              <w:rPr>
                <w:rFonts w:ascii="Times New Roman" w:hAnsi="Times New Roman"/>
                <w:b/>
                <w:bCs/>
                <w:szCs w:val="22"/>
              </w:rPr>
              <w:t>8,250.80</w:t>
            </w:r>
          </w:p>
        </w:tc>
      </w:tr>
    </w:tbl>
    <w:p w:rsidR="0043489B" w:rsidRPr="00A460F6" w:rsidRDefault="0043489B" w:rsidP="0043489B">
      <w:pPr>
        <w:spacing w:after="0"/>
        <w:jc w:val="left"/>
        <w:rPr>
          <w:rFonts w:ascii="Times New Roman" w:hAnsi="Times New Roman"/>
          <w:lang w:eastAsia="en-AU"/>
        </w:rPr>
      </w:pPr>
    </w:p>
    <w:p w:rsidR="0043489B" w:rsidRPr="00EF1B36" w:rsidRDefault="0043489B" w:rsidP="0043489B">
      <w:pPr>
        <w:jc w:val="center"/>
        <w:rPr>
          <w:sz w:val="28"/>
          <w:szCs w:val="28"/>
        </w:rPr>
      </w:pPr>
      <w:r>
        <w:br w:type="page"/>
      </w:r>
      <w:r w:rsidRPr="00EF1B36">
        <w:rPr>
          <w:rFonts w:ascii="Times New Roman" w:hAnsi="Times New Roman"/>
          <w:b/>
          <w:bCs/>
          <w:sz w:val="28"/>
          <w:szCs w:val="28"/>
          <w:lang w:eastAsia="en-AU"/>
        </w:rPr>
        <w:lastRenderedPageBreak/>
        <w:t>General Fund Account for the year ended 30 September 20</w:t>
      </w:r>
      <w:r w:rsidR="00A94F42">
        <w:rPr>
          <w:rFonts w:ascii="Times New Roman" w:hAnsi="Times New Roman"/>
          <w:b/>
          <w:bCs/>
          <w:sz w:val="28"/>
          <w:szCs w:val="28"/>
          <w:lang w:eastAsia="en-AU"/>
        </w:rPr>
        <w:t>20</w:t>
      </w:r>
    </w:p>
    <w:tbl>
      <w:tblPr>
        <w:tblW w:w="9960" w:type="dxa"/>
        <w:tblInd w:w="93" w:type="dxa"/>
        <w:tblLook w:val="04A0" w:firstRow="1" w:lastRow="0" w:firstColumn="1" w:lastColumn="0" w:noHBand="0" w:noVBand="1"/>
      </w:tblPr>
      <w:tblGrid>
        <w:gridCol w:w="1318"/>
        <w:gridCol w:w="1416"/>
        <w:gridCol w:w="3115"/>
        <w:gridCol w:w="1375"/>
        <w:gridCol w:w="1418"/>
        <w:gridCol w:w="1318"/>
      </w:tblGrid>
      <w:tr w:rsidR="0090301F" w:rsidRPr="009F4968"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r w:rsidRPr="00712C0B">
              <w:rPr>
                <w:rFonts w:ascii="Times New Roman" w:hAnsi="Times New Roman"/>
                <w:b/>
                <w:bCs/>
                <w:szCs w:val="22"/>
              </w:rPr>
              <w:t>Actual</w:t>
            </w:r>
          </w:p>
        </w:tc>
        <w:tc>
          <w:tcPr>
            <w:tcW w:w="1416"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r w:rsidRPr="00712C0B">
              <w:rPr>
                <w:rFonts w:ascii="Times New Roman" w:hAnsi="Times New Roman"/>
                <w:b/>
                <w:bCs/>
                <w:szCs w:val="22"/>
              </w:rPr>
              <w:t>Actual</w:t>
            </w:r>
          </w:p>
        </w:tc>
        <w:tc>
          <w:tcPr>
            <w:tcW w:w="3115" w:type="dxa"/>
            <w:tcBorders>
              <w:top w:val="nil"/>
              <w:left w:val="nil"/>
              <w:bottom w:val="nil"/>
              <w:right w:val="nil"/>
            </w:tcBorders>
            <w:shd w:val="clear" w:color="auto" w:fill="auto"/>
            <w:noWrap/>
            <w:vAlign w:val="bottom"/>
            <w:hideMark/>
          </w:tcPr>
          <w:p w:rsidR="0090301F" w:rsidRPr="00712C0B" w:rsidRDefault="0090301F" w:rsidP="00712C0B">
            <w:pPr>
              <w:spacing w:after="0"/>
              <w:rPr>
                <w:rFonts w:ascii="Times New Roman" w:hAnsi="Times New Roman"/>
                <w:b/>
                <w:bCs/>
                <w:szCs w:val="22"/>
              </w:rPr>
            </w:pP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color w:val="FF0000"/>
                <w:szCs w:val="22"/>
              </w:rPr>
            </w:pP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color w:val="FF0000"/>
                <w:szCs w:val="22"/>
              </w:rPr>
            </w:pP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b/>
                <w:bCs/>
                <w:szCs w:val="22"/>
              </w:rPr>
            </w:pPr>
          </w:p>
        </w:tc>
      </w:tr>
      <w:tr w:rsidR="0090301F" w:rsidRPr="009F4968"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r w:rsidRPr="00712C0B">
              <w:rPr>
                <w:rFonts w:ascii="Times New Roman" w:hAnsi="Times New Roman"/>
                <w:b/>
                <w:bCs/>
                <w:szCs w:val="22"/>
              </w:rPr>
              <w:t>2017</w:t>
            </w:r>
            <w:r w:rsidR="00A94F42" w:rsidRPr="00712C0B">
              <w:rPr>
                <w:rFonts w:ascii="Times New Roman" w:hAnsi="Times New Roman"/>
                <w:b/>
                <w:bCs/>
                <w:szCs w:val="22"/>
              </w:rPr>
              <w:t>/18</w:t>
            </w:r>
          </w:p>
        </w:tc>
        <w:tc>
          <w:tcPr>
            <w:tcW w:w="1416" w:type="dxa"/>
            <w:tcBorders>
              <w:top w:val="nil"/>
              <w:left w:val="nil"/>
              <w:bottom w:val="nil"/>
              <w:right w:val="nil"/>
            </w:tcBorders>
            <w:shd w:val="clear" w:color="auto" w:fill="auto"/>
            <w:noWrap/>
            <w:vAlign w:val="bottom"/>
            <w:hideMark/>
          </w:tcPr>
          <w:p w:rsidR="0090301F"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2018/19</w:t>
            </w:r>
          </w:p>
        </w:tc>
        <w:tc>
          <w:tcPr>
            <w:tcW w:w="3115" w:type="dxa"/>
            <w:tcBorders>
              <w:top w:val="nil"/>
              <w:left w:val="nil"/>
              <w:bottom w:val="nil"/>
              <w:right w:val="nil"/>
            </w:tcBorders>
            <w:shd w:val="clear" w:color="auto" w:fill="auto"/>
            <w:noWrap/>
            <w:vAlign w:val="bottom"/>
            <w:hideMark/>
          </w:tcPr>
          <w:p w:rsidR="0090301F" w:rsidRPr="00712C0B" w:rsidRDefault="0090301F" w:rsidP="00712C0B">
            <w:pPr>
              <w:spacing w:after="0"/>
              <w:rPr>
                <w:rFonts w:ascii="Times New Roman" w:hAnsi="Times New Roman"/>
                <w:b/>
                <w:bCs/>
                <w:szCs w:val="22"/>
              </w:rPr>
            </w:pP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i/>
                <w:iCs/>
                <w:szCs w:val="22"/>
              </w:rPr>
            </w:pPr>
            <w:r w:rsidRPr="00712C0B">
              <w:rPr>
                <w:rFonts w:ascii="Times New Roman" w:hAnsi="Times New Roman"/>
                <w:b/>
                <w:bCs/>
                <w:i/>
                <w:iCs/>
                <w:szCs w:val="22"/>
              </w:rPr>
              <w:t>Budget</w:t>
            </w: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r w:rsidRPr="00712C0B">
              <w:rPr>
                <w:rFonts w:ascii="Times New Roman" w:hAnsi="Times New Roman"/>
                <w:b/>
                <w:bCs/>
                <w:szCs w:val="22"/>
              </w:rPr>
              <w:t>Actual</w:t>
            </w: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b/>
                <w:bCs/>
                <w:i/>
                <w:iCs/>
                <w:szCs w:val="22"/>
              </w:rPr>
            </w:pPr>
            <w:r w:rsidRPr="00712C0B">
              <w:rPr>
                <w:rFonts w:ascii="Times New Roman" w:hAnsi="Times New Roman"/>
                <w:b/>
                <w:bCs/>
                <w:i/>
                <w:iCs/>
                <w:szCs w:val="22"/>
              </w:rPr>
              <w:t>Budget 2020</w:t>
            </w:r>
            <w:r w:rsidR="00A94F42" w:rsidRPr="00712C0B">
              <w:rPr>
                <w:rFonts w:ascii="Times New Roman" w:hAnsi="Times New Roman"/>
                <w:b/>
                <w:bCs/>
                <w:i/>
                <w:iCs/>
                <w:szCs w:val="22"/>
              </w:rPr>
              <w:t>/21</w:t>
            </w:r>
          </w:p>
        </w:tc>
      </w:tr>
      <w:tr w:rsidR="0090301F" w:rsidRPr="009F4968"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r w:rsidRPr="00712C0B">
              <w:rPr>
                <w:rFonts w:ascii="Times New Roman" w:hAnsi="Times New Roman"/>
                <w:b/>
                <w:bCs/>
                <w:szCs w:val="22"/>
              </w:rPr>
              <w:t>$.cc</w:t>
            </w:r>
          </w:p>
        </w:tc>
        <w:tc>
          <w:tcPr>
            <w:tcW w:w="1416"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r w:rsidRPr="00712C0B">
              <w:rPr>
                <w:rFonts w:ascii="Times New Roman" w:hAnsi="Times New Roman"/>
                <w:b/>
                <w:bCs/>
                <w:szCs w:val="22"/>
              </w:rPr>
              <w:t>$.cc</w:t>
            </w:r>
          </w:p>
        </w:tc>
        <w:tc>
          <w:tcPr>
            <w:tcW w:w="3115" w:type="dxa"/>
            <w:tcBorders>
              <w:top w:val="nil"/>
              <w:left w:val="nil"/>
              <w:bottom w:val="nil"/>
              <w:right w:val="nil"/>
            </w:tcBorders>
            <w:shd w:val="clear" w:color="auto" w:fill="auto"/>
            <w:noWrap/>
            <w:vAlign w:val="bottom"/>
            <w:hideMark/>
          </w:tcPr>
          <w:p w:rsidR="0090301F" w:rsidRPr="00712C0B" w:rsidRDefault="00712C0B" w:rsidP="001D1D53">
            <w:pPr>
              <w:spacing w:after="0"/>
              <w:jc w:val="left"/>
              <w:rPr>
                <w:rFonts w:ascii="Times New Roman" w:hAnsi="Times New Roman"/>
                <w:b/>
                <w:bCs/>
                <w:szCs w:val="22"/>
              </w:rPr>
            </w:pPr>
            <w:r w:rsidRPr="00712C0B">
              <w:rPr>
                <w:rFonts w:ascii="Times New Roman" w:hAnsi="Times New Roman"/>
                <w:b/>
                <w:bCs/>
                <w:sz w:val="28"/>
                <w:szCs w:val="28"/>
              </w:rPr>
              <w:t>Income</w:t>
            </w: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i/>
                <w:iCs/>
                <w:szCs w:val="22"/>
              </w:rPr>
            </w:pPr>
            <w:r w:rsidRPr="00712C0B">
              <w:rPr>
                <w:rFonts w:ascii="Times New Roman" w:hAnsi="Times New Roman"/>
                <w:b/>
                <w:bCs/>
                <w:i/>
                <w:iCs/>
                <w:szCs w:val="22"/>
              </w:rPr>
              <w:t>$.cc</w:t>
            </w: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r w:rsidRPr="00712C0B">
              <w:rPr>
                <w:rFonts w:ascii="Times New Roman" w:hAnsi="Times New Roman"/>
                <w:b/>
                <w:bCs/>
                <w:szCs w:val="22"/>
              </w:rPr>
              <w:t>$.cc</w:t>
            </w: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b/>
                <w:bCs/>
                <w:i/>
                <w:iCs/>
                <w:szCs w:val="22"/>
              </w:rPr>
            </w:pPr>
            <w:r w:rsidRPr="00712C0B">
              <w:rPr>
                <w:rFonts w:ascii="Times New Roman" w:hAnsi="Times New Roman"/>
                <w:b/>
                <w:bCs/>
                <w:i/>
                <w:iCs/>
                <w:szCs w:val="22"/>
              </w:rPr>
              <w:t>$.cc</w:t>
            </w:r>
          </w:p>
        </w:tc>
      </w:tr>
      <w:tr w:rsidR="0090301F" w:rsidRPr="009F4968"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vAlign w:val="bottom"/>
            <w:hideMark/>
          </w:tcPr>
          <w:p w:rsidR="0090301F" w:rsidRPr="00712C0B" w:rsidRDefault="0090301F" w:rsidP="00712C0B">
            <w:pPr>
              <w:spacing w:after="0"/>
              <w:rPr>
                <w:rFonts w:ascii="Times New Roman" w:hAnsi="Times New Roman"/>
                <w:b/>
                <w:bCs/>
                <w:sz w:val="28"/>
                <w:szCs w:val="28"/>
              </w:rPr>
            </w:pP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b/>
                <w:bCs/>
                <w:i/>
                <w:iCs/>
                <w:szCs w:val="22"/>
              </w:rPr>
            </w:pP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170,200.00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171,400.00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Regional Meeting Quotas</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177,650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177,600.00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153,620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3,361.71</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3,825.79</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Investment Income</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3,000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2,665.62</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3,000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Other</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15,000.00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-15,000</w:t>
            </w:r>
          </w:p>
        </w:tc>
      </w:tr>
      <w:tr w:rsidR="00A94F42" w:rsidRPr="009F4968"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 w:val="24"/>
                <w:szCs w:val="24"/>
              </w:rPr>
            </w:pPr>
            <w:r w:rsidRPr="00712C0B">
              <w:rPr>
                <w:rFonts w:ascii="Times New Roman" w:hAnsi="Times New Roman"/>
                <w:b/>
                <w:bCs/>
              </w:rPr>
              <w:t>173,561.71</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 w:val="24"/>
                <w:szCs w:val="24"/>
              </w:rPr>
            </w:pPr>
            <w:r w:rsidRPr="00712C0B">
              <w:rPr>
                <w:rFonts w:ascii="Times New Roman" w:hAnsi="Times New Roman"/>
                <w:b/>
                <w:bCs/>
              </w:rPr>
              <w:t>175,225.79</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r w:rsidRPr="00712C0B">
              <w:rPr>
                <w:rFonts w:ascii="Times New Roman" w:hAnsi="Times New Roman"/>
                <w:b/>
                <w:bCs/>
                <w:szCs w:val="22"/>
              </w:rPr>
              <w:t>Total General Fund Income</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 w:val="24"/>
                <w:szCs w:val="24"/>
              </w:rPr>
            </w:pPr>
            <w:r w:rsidRPr="00712C0B">
              <w:rPr>
                <w:rFonts w:ascii="Times New Roman" w:hAnsi="Times New Roman"/>
                <w:b/>
                <w:bCs/>
                <w:i/>
                <w:iCs/>
              </w:rPr>
              <w:t>180,650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195,265.62</w:t>
            </w:r>
          </w:p>
        </w:tc>
        <w:tc>
          <w:tcPr>
            <w:tcW w:w="1318" w:type="dxa"/>
            <w:tcBorders>
              <w:top w:val="nil"/>
              <w:left w:val="nil"/>
              <w:bottom w:val="nil"/>
              <w:right w:val="nil"/>
            </w:tcBorders>
            <w:shd w:val="clear" w:color="auto" w:fill="EEECE1"/>
            <w:noWrap/>
            <w:vAlign w:val="bottom"/>
          </w:tcPr>
          <w:p w:rsidR="00A94F42" w:rsidRPr="00712C0B" w:rsidRDefault="00A94F42" w:rsidP="00712C0B">
            <w:pPr>
              <w:spacing w:after="0"/>
              <w:jc w:val="right"/>
              <w:rPr>
                <w:rFonts w:ascii="Times New Roman" w:hAnsi="Times New Roman"/>
                <w:b/>
                <w:bCs/>
                <w:i/>
                <w:iCs/>
                <w:sz w:val="24"/>
                <w:szCs w:val="24"/>
              </w:rPr>
            </w:pPr>
            <w:r w:rsidRPr="00712C0B">
              <w:rPr>
                <w:rFonts w:ascii="Times New Roman" w:hAnsi="Times New Roman"/>
                <w:b/>
                <w:bCs/>
                <w:i/>
                <w:iCs/>
              </w:rPr>
              <w:t>141,620</w:t>
            </w:r>
          </w:p>
        </w:tc>
      </w:tr>
      <w:tr w:rsidR="0090301F" w:rsidRPr="009F4968"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szCs w:val="22"/>
              </w:rPr>
            </w:pPr>
          </w:p>
        </w:tc>
        <w:tc>
          <w:tcPr>
            <w:tcW w:w="1416"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szCs w:val="22"/>
              </w:rPr>
            </w:pPr>
          </w:p>
        </w:tc>
        <w:tc>
          <w:tcPr>
            <w:tcW w:w="3115" w:type="dxa"/>
            <w:tcBorders>
              <w:top w:val="nil"/>
              <w:left w:val="nil"/>
              <w:bottom w:val="nil"/>
              <w:right w:val="nil"/>
            </w:tcBorders>
            <w:shd w:val="clear" w:color="auto" w:fill="auto"/>
            <w:noWrap/>
            <w:vAlign w:val="bottom"/>
            <w:hideMark/>
          </w:tcPr>
          <w:p w:rsidR="0090301F" w:rsidRPr="00712C0B" w:rsidRDefault="0090301F" w:rsidP="00712C0B">
            <w:pPr>
              <w:spacing w:after="0"/>
              <w:rPr>
                <w:rFonts w:ascii="Times New Roman" w:hAnsi="Times New Roman"/>
                <w:szCs w:val="22"/>
              </w:rPr>
            </w:pP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szCs w:val="22"/>
              </w:rPr>
            </w:pP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i/>
                <w:iCs/>
                <w:szCs w:val="22"/>
              </w:rPr>
            </w:pPr>
          </w:p>
        </w:tc>
      </w:tr>
      <w:tr w:rsidR="0090301F" w:rsidRPr="009F4968"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vAlign w:val="bottom"/>
            <w:hideMark/>
          </w:tcPr>
          <w:p w:rsidR="0090301F" w:rsidRPr="00712C0B" w:rsidRDefault="0090301F" w:rsidP="00712C0B">
            <w:pPr>
              <w:spacing w:after="0"/>
              <w:rPr>
                <w:rFonts w:ascii="Times New Roman" w:hAnsi="Times New Roman"/>
                <w:b/>
                <w:bCs/>
                <w:sz w:val="28"/>
                <w:szCs w:val="28"/>
              </w:rPr>
            </w:pPr>
            <w:r w:rsidRPr="00712C0B">
              <w:rPr>
                <w:rFonts w:ascii="Times New Roman" w:hAnsi="Times New Roman"/>
                <w:b/>
                <w:bCs/>
                <w:sz w:val="28"/>
                <w:szCs w:val="28"/>
              </w:rPr>
              <w:t>Outgo</w:t>
            </w: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b/>
                <w:bCs/>
                <w:i/>
                <w:iCs/>
                <w:szCs w:val="22"/>
              </w:rPr>
            </w:pPr>
          </w:p>
        </w:tc>
      </w:tr>
      <w:tr w:rsidR="0090301F" w:rsidRPr="009F4968"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vAlign w:val="bottom"/>
            <w:hideMark/>
          </w:tcPr>
          <w:p w:rsidR="0090301F" w:rsidRPr="00712C0B" w:rsidRDefault="0090301F" w:rsidP="00712C0B">
            <w:pPr>
              <w:spacing w:after="0"/>
              <w:rPr>
                <w:rFonts w:ascii="Times New Roman" w:hAnsi="Times New Roman"/>
                <w:b/>
                <w:bCs/>
                <w:szCs w:val="22"/>
              </w:rPr>
            </w:pPr>
            <w:r w:rsidRPr="00712C0B">
              <w:rPr>
                <w:rFonts w:ascii="Times New Roman" w:hAnsi="Times New Roman"/>
                <w:b/>
                <w:bCs/>
                <w:szCs w:val="22"/>
              </w:rPr>
              <w:t>Salaries and fees</w:t>
            </w: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b/>
                <w:bCs/>
                <w:szCs w:val="22"/>
              </w:rPr>
            </w:pP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b/>
                <w:bCs/>
                <w:i/>
                <w:iCs/>
                <w:szCs w:val="22"/>
              </w:rPr>
            </w:pP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53,013.96</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54,787.25</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Secretary's Salary</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56,600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56,129.00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57,850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5,036.34</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5,204.76</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Superannuation</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5,400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5,332.24</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5,500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711.83</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639.84</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Workers Compensation</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800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728.13</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750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Auditors fees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7,000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4,800.00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4,897.27</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Bookkeeping Fees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5,000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4,900.00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5,000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63,562.13</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65,529.12</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67,800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67,089.37</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76,100</w:t>
            </w:r>
          </w:p>
        </w:tc>
      </w:tr>
      <w:tr w:rsidR="00A94F42" w:rsidRPr="009F4968"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r w:rsidRPr="00712C0B">
              <w:rPr>
                <w:rFonts w:ascii="Times New Roman" w:hAnsi="Times New Roman"/>
                <w:b/>
                <w:bCs/>
                <w:szCs w:val="22"/>
              </w:rPr>
              <w:t>Office Expenses</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p>
        </w:tc>
      </w:tr>
      <w:tr w:rsidR="00A94F42" w:rsidRPr="009F4968"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1,965.41</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727.42</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Office Supplies/Materials</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9,500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1,242.16</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7,500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3,092.47</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5,198.95</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Printing and photocopying</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3,614.62</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322.72</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770.82</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Postage</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94.67</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1,274.04</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1,407.60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Telephone</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1,821.80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5,410.22</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2,052.05</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Computer</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195.15</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203.08</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Internet</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8,400.00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7,800.00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Rent</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7,800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7,800.00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7,800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20,667.94</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17,956.84</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17,300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14,768.40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15,300</w:t>
            </w:r>
          </w:p>
        </w:tc>
      </w:tr>
      <w:tr w:rsidR="00A94F42" w:rsidRPr="009F4968"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r w:rsidRPr="00712C0B">
              <w:rPr>
                <w:rFonts w:ascii="Times New Roman" w:hAnsi="Times New Roman"/>
                <w:b/>
                <w:bCs/>
                <w:szCs w:val="22"/>
              </w:rPr>
              <w:t>Travel</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p>
        </w:tc>
      </w:tr>
      <w:tr w:rsidR="00A94F42" w:rsidRPr="009F4968"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7,300.00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9,000.00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Yearly Meeting Travel</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6,600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6,600.00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3,000.00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Young Friends allocation</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8,000.00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Travel Fund</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18,000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18,000.00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6,000</w:t>
            </w:r>
          </w:p>
        </w:tc>
      </w:tr>
      <w:tr w:rsidR="00A94F42" w:rsidRPr="009F141E"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18,300.00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17,000.00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24,600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24,600.00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5,900</w:t>
            </w:r>
          </w:p>
        </w:tc>
      </w:tr>
      <w:tr w:rsidR="00A94F42" w:rsidRPr="009F4968"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r w:rsidRPr="00712C0B">
              <w:rPr>
                <w:rFonts w:ascii="Times New Roman" w:hAnsi="Times New Roman"/>
                <w:b/>
                <w:bCs/>
                <w:szCs w:val="22"/>
              </w:rPr>
              <w:t>Other expenses</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p>
        </w:tc>
      </w:tr>
      <w:tr w:rsidR="00A94F42" w:rsidRPr="009F4968"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17,000.00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18,000.00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Publications Fund subsidy</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12,000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12,000.00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18,000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4,000.00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Yearly Meeting subsidy</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7,000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7,000.00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3,000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12,227.76</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13,081.78</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P/L Insurance</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14,000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13,517.44</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10,000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Officer expenses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250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250.00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633.67</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Subscriptions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541.40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1,843.00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1,843.00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National Council of Churches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1,900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1,843.00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1,900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20,933.91</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19,426.98</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Committee expenses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21,500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20,555.00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15,500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49.70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17.46</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Bank &amp; other charges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150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45.00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50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56,304.37</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57,002.89</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57,550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55,501.84</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49,200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r w:rsidRPr="00712C0B">
              <w:rPr>
                <w:rFonts w:ascii="Times New Roman" w:hAnsi="Times New Roman"/>
                <w:b/>
                <w:bCs/>
                <w:szCs w:val="22"/>
              </w:rPr>
              <w:t>Donations</w:t>
            </w: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p>
        </w:tc>
      </w:tr>
      <w:tr w:rsidR="00A94F42" w:rsidRPr="009F4968" w:rsidTr="00712C0B">
        <w:tc>
          <w:tcPr>
            <w:tcW w:w="13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1,700.00</w:t>
            </w:r>
          </w:p>
        </w:tc>
        <w:tc>
          <w:tcPr>
            <w:tcW w:w="1416"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Silver Wattle</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1,700</w:t>
            </w:r>
          </w:p>
        </w:tc>
        <w:tc>
          <w:tcPr>
            <w:tcW w:w="14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1,700.00</w:t>
            </w:r>
          </w:p>
        </w:tc>
        <w:tc>
          <w:tcPr>
            <w:tcW w:w="1318" w:type="dxa"/>
            <w:tcBorders>
              <w:top w:val="nil"/>
              <w:left w:val="nil"/>
              <w:bottom w:val="nil"/>
              <w:right w:val="nil"/>
            </w:tcBorders>
            <w:shd w:val="clear" w:color="auto" w:fill="EEECE1"/>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1,900</w:t>
            </w:r>
          </w:p>
        </w:tc>
      </w:tr>
      <w:tr w:rsidR="00A94F42" w:rsidRPr="009F4968" w:rsidTr="00712C0B">
        <w:tc>
          <w:tcPr>
            <w:tcW w:w="13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2,000.00</w:t>
            </w:r>
          </w:p>
        </w:tc>
        <w:tc>
          <w:tcPr>
            <w:tcW w:w="1416"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FWCC World</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2,000</w:t>
            </w:r>
          </w:p>
        </w:tc>
        <w:tc>
          <w:tcPr>
            <w:tcW w:w="14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2,000.00</w:t>
            </w:r>
          </w:p>
        </w:tc>
        <w:tc>
          <w:tcPr>
            <w:tcW w:w="1318" w:type="dxa"/>
            <w:tcBorders>
              <w:top w:val="nil"/>
              <w:left w:val="nil"/>
              <w:bottom w:val="nil"/>
              <w:right w:val="nil"/>
            </w:tcBorders>
            <w:shd w:val="clear" w:color="auto" w:fill="EEECE1"/>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2,250</w:t>
            </w:r>
          </w:p>
        </w:tc>
      </w:tr>
      <w:tr w:rsidR="00A94F42" w:rsidRPr="00316B33" w:rsidTr="00712C0B">
        <w:tc>
          <w:tcPr>
            <w:tcW w:w="13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4,000.00</w:t>
            </w:r>
          </w:p>
        </w:tc>
        <w:tc>
          <w:tcPr>
            <w:tcW w:w="1416"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FWCC A/W Pacific</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4,000</w:t>
            </w:r>
          </w:p>
        </w:tc>
        <w:tc>
          <w:tcPr>
            <w:tcW w:w="14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4,000.00</w:t>
            </w:r>
          </w:p>
        </w:tc>
        <w:tc>
          <w:tcPr>
            <w:tcW w:w="1318" w:type="dxa"/>
            <w:tcBorders>
              <w:top w:val="nil"/>
              <w:left w:val="nil"/>
              <w:bottom w:val="nil"/>
              <w:right w:val="nil"/>
            </w:tcBorders>
            <w:shd w:val="clear" w:color="auto" w:fill="EEECE1"/>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4,500</w:t>
            </w:r>
          </w:p>
        </w:tc>
      </w:tr>
      <w:tr w:rsidR="00A94F42" w:rsidRPr="00316B33" w:rsidTr="00712C0B">
        <w:tc>
          <w:tcPr>
            <w:tcW w:w="13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3,000.00</w:t>
            </w:r>
          </w:p>
        </w:tc>
        <w:tc>
          <w:tcPr>
            <w:tcW w:w="1416"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QUNO</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3,000</w:t>
            </w:r>
          </w:p>
        </w:tc>
        <w:tc>
          <w:tcPr>
            <w:tcW w:w="14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3,000.00</w:t>
            </w:r>
          </w:p>
        </w:tc>
        <w:tc>
          <w:tcPr>
            <w:tcW w:w="1318" w:type="dxa"/>
            <w:tcBorders>
              <w:top w:val="nil"/>
              <w:left w:val="nil"/>
              <w:bottom w:val="nil"/>
              <w:right w:val="nil"/>
            </w:tcBorders>
            <w:shd w:val="clear" w:color="auto" w:fill="EEECE1"/>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3,500</w:t>
            </w:r>
          </w:p>
        </w:tc>
      </w:tr>
      <w:tr w:rsidR="00A94F42" w:rsidRPr="00316B33" w:rsidTr="00712C0B">
        <w:tc>
          <w:tcPr>
            <w:tcW w:w="13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850.00</w:t>
            </w:r>
          </w:p>
        </w:tc>
        <w:tc>
          <w:tcPr>
            <w:tcW w:w="1416"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850.00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Woodbrooke</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850</w:t>
            </w:r>
          </w:p>
        </w:tc>
        <w:tc>
          <w:tcPr>
            <w:tcW w:w="14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850.00</w:t>
            </w:r>
          </w:p>
        </w:tc>
        <w:tc>
          <w:tcPr>
            <w:tcW w:w="1318" w:type="dxa"/>
            <w:tcBorders>
              <w:top w:val="nil"/>
              <w:left w:val="nil"/>
              <w:bottom w:val="nil"/>
              <w:right w:val="nil"/>
            </w:tcBorders>
            <w:shd w:val="clear" w:color="auto" w:fill="EEECE1"/>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935</w:t>
            </w:r>
          </w:p>
        </w:tc>
      </w:tr>
      <w:tr w:rsidR="00A94F42" w:rsidRPr="00316B33" w:rsidTr="00712C0B">
        <w:tc>
          <w:tcPr>
            <w:tcW w:w="13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850.00</w:t>
            </w:r>
          </w:p>
        </w:tc>
        <w:tc>
          <w:tcPr>
            <w:tcW w:w="1416"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850.00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Pendle Hill</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850</w:t>
            </w:r>
          </w:p>
        </w:tc>
        <w:tc>
          <w:tcPr>
            <w:tcW w:w="14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850.00</w:t>
            </w:r>
          </w:p>
        </w:tc>
        <w:tc>
          <w:tcPr>
            <w:tcW w:w="1318" w:type="dxa"/>
            <w:tcBorders>
              <w:top w:val="nil"/>
              <w:left w:val="nil"/>
              <w:bottom w:val="nil"/>
              <w:right w:val="nil"/>
            </w:tcBorders>
            <w:shd w:val="clear" w:color="auto" w:fill="EEECE1"/>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935</w:t>
            </w:r>
          </w:p>
        </w:tc>
      </w:tr>
      <w:tr w:rsidR="00A94F42" w:rsidRPr="00316B33" w:rsidTr="00712C0B">
        <w:tc>
          <w:tcPr>
            <w:tcW w:w="13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1,000.00</w:t>
            </w:r>
          </w:p>
        </w:tc>
        <w:tc>
          <w:tcPr>
            <w:tcW w:w="1416"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1,000.00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szCs w:val="22"/>
              </w:rPr>
            </w:pPr>
            <w:r w:rsidRPr="00712C0B">
              <w:rPr>
                <w:rFonts w:ascii="Times New Roman" w:hAnsi="Times New Roman"/>
                <w:szCs w:val="22"/>
              </w:rPr>
              <w:t>Friends Peace Teams</w:t>
            </w:r>
          </w:p>
        </w:tc>
        <w:tc>
          <w:tcPr>
            <w:tcW w:w="1375"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1,000</w:t>
            </w:r>
          </w:p>
        </w:tc>
        <w:tc>
          <w:tcPr>
            <w:tcW w:w="1418" w:type="dxa"/>
            <w:tcBorders>
              <w:top w:val="nil"/>
              <w:left w:val="nil"/>
              <w:bottom w:val="nil"/>
              <w:right w:val="nil"/>
            </w:tcBorders>
            <w:shd w:val="clear" w:color="auto" w:fill="auto"/>
            <w:noWrap/>
            <w:vAlign w:val="center"/>
            <w:hideMark/>
          </w:tcPr>
          <w:p w:rsidR="00A94F42" w:rsidRPr="00712C0B" w:rsidRDefault="00A94F42" w:rsidP="00712C0B">
            <w:pPr>
              <w:spacing w:after="0"/>
              <w:jc w:val="right"/>
              <w:rPr>
                <w:rFonts w:ascii="Times New Roman" w:hAnsi="Times New Roman"/>
                <w:szCs w:val="22"/>
              </w:rPr>
            </w:pPr>
            <w:r w:rsidRPr="00712C0B">
              <w:rPr>
                <w:rFonts w:ascii="Times New Roman" w:hAnsi="Times New Roman"/>
                <w:szCs w:val="22"/>
              </w:rPr>
              <w:t>1,000.00</w:t>
            </w:r>
          </w:p>
        </w:tc>
        <w:tc>
          <w:tcPr>
            <w:tcW w:w="1318" w:type="dxa"/>
            <w:tcBorders>
              <w:top w:val="nil"/>
              <w:left w:val="nil"/>
              <w:bottom w:val="nil"/>
              <w:right w:val="nil"/>
            </w:tcBorders>
            <w:shd w:val="clear" w:color="auto" w:fill="EEECE1"/>
            <w:noWrap/>
            <w:vAlign w:val="center"/>
            <w:hideMark/>
          </w:tcPr>
          <w:p w:rsidR="00A94F42" w:rsidRPr="00712C0B" w:rsidRDefault="00A94F42" w:rsidP="00712C0B">
            <w:pPr>
              <w:spacing w:after="0"/>
              <w:jc w:val="right"/>
              <w:rPr>
                <w:rFonts w:ascii="Times New Roman" w:hAnsi="Times New Roman"/>
                <w:i/>
                <w:iCs/>
                <w:szCs w:val="22"/>
              </w:rPr>
            </w:pPr>
            <w:r w:rsidRPr="00712C0B">
              <w:rPr>
                <w:rFonts w:ascii="Times New Roman" w:hAnsi="Times New Roman"/>
                <w:i/>
                <w:iCs/>
                <w:szCs w:val="22"/>
              </w:rPr>
              <w:t>1,100</w:t>
            </w:r>
          </w:p>
        </w:tc>
      </w:tr>
      <w:tr w:rsidR="00A94F42" w:rsidRPr="00316B33" w:rsidTr="00712C0B">
        <w:tc>
          <w:tcPr>
            <w:tcW w:w="13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13,400.00</w:t>
            </w:r>
          </w:p>
        </w:tc>
        <w:tc>
          <w:tcPr>
            <w:tcW w:w="1416"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13,400.00</w:t>
            </w:r>
          </w:p>
        </w:tc>
        <w:tc>
          <w:tcPr>
            <w:tcW w:w="3115" w:type="dxa"/>
            <w:tcBorders>
              <w:top w:val="nil"/>
              <w:left w:val="nil"/>
              <w:bottom w:val="nil"/>
              <w:right w:val="nil"/>
            </w:tcBorders>
            <w:shd w:val="clear" w:color="auto" w:fill="auto"/>
            <w:noWrap/>
            <w:vAlign w:val="bottom"/>
            <w:hideMark/>
          </w:tcPr>
          <w:p w:rsidR="00A94F42" w:rsidRPr="00712C0B" w:rsidRDefault="00A94F42" w:rsidP="00712C0B">
            <w:pPr>
              <w:spacing w:after="0"/>
              <w:rPr>
                <w:rFonts w:ascii="Times New Roman" w:hAnsi="Times New Roman"/>
                <w:b/>
                <w:bCs/>
                <w:szCs w:val="22"/>
              </w:rPr>
            </w:pPr>
          </w:p>
        </w:tc>
        <w:tc>
          <w:tcPr>
            <w:tcW w:w="1375"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13,400</w:t>
            </w:r>
          </w:p>
        </w:tc>
        <w:tc>
          <w:tcPr>
            <w:tcW w:w="1418" w:type="dxa"/>
            <w:tcBorders>
              <w:top w:val="nil"/>
              <w:left w:val="nil"/>
              <w:bottom w:val="nil"/>
              <w:right w:val="nil"/>
            </w:tcBorders>
            <w:shd w:val="clear" w:color="auto" w:fill="auto"/>
            <w:noWrap/>
            <w:vAlign w:val="bottom"/>
            <w:hideMark/>
          </w:tcPr>
          <w:p w:rsidR="00A94F42" w:rsidRPr="00712C0B" w:rsidRDefault="00A94F42" w:rsidP="00712C0B">
            <w:pPr>
              <w:spacing w:after="0"/>
              <w:jc w:val="right"/>
              <w:rPr>
                <w:rFonts w:ascii="Times New Roman" w:hAnsi="Times New Roman"/>
                <w:b/>
                <w:bCs/>
                <w:szCs w:val="22"/>
              </w:rPr>
            </w:pPr>
            <w:r w:rsidRPr="00712C0B">
              <w:rPr>
                <w:rFonts w:ascii="Times New Roman" w:hAnsi="Times New Roman"/>
                <w:b/>
                <w:bCs/>
                <w:szCs w:val="22"/>
              </w:rPr>
              <w:t>13,400.00</w:t>
            </w:r>
          </w:p>
        </w:tc>
        <w:tc>
          <w:tcPr>
            <w:tcW w:w="1318" w:type="dxa"/>
            <w:tcBorders>
              <w:top w:val="nil"/>
              <w:left w:val="nil"/>
              <w:bottom w:val="nil"/>
              <w:right w:val="nil"/>
            </w:tcBorders>
            <w:shd w:val="clear" w:color="auto" w:fill="EEECE1"/>
            <w:noWrap/>
            <w:vAlign w:val="bottom"/>
            <w:hideMark/>
          </w:tcPr>
          <w:p w:rsidR="00A94F42" w:rsidRPr="00712C0B" w:rsidRDefault="00A94F42" w:rsidP="00712C0B">
            <w:pPr>
              <w:spacing w:after="0"/>
              <w:jc w:val="right"/>
              <w:rPr>
                <w:rFonts w:ascii="Times New Roman" w:hAnsi="Times New Roman"/>
                <w:b/>
                <w:bCs/>
                <w:i/>
                <w:iCs/>
                <w:szCs w:val="22"/>
              </w:rPr>
            </w:pPr>
            <w:r w:rsidRPr="00712C0B">
              <w:rPr>
                <w:rFonts w:ascii="Times New Roman" w:hAnsi="Times New Roman"/>
                <w:b/>
                <w:bCs/>
                <w:i/>
                <w:iCs/>
                <w:szCs w:val="22"/>
              </w:rPr>
              <w:t>15,120</w:t>
            </w:r>
          </w:p>
        </w:tc>
      </w:tr>
      <w:tr w:rsidR="0090301F" w:rsidRPr="00316B33" w:rsidTr="00712C0B">
        <w:tc>
          <w:tcPr>
            <w:tcW w:w="13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szCs w:val="22"/>
              </w:rPr>
            </w:pPr>
          </w:p>
        </w:tc>
        <w:tc>
          <w:tcPr>
            <w:tcW w:w="1416"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szCs w:val="22"/>
              </w:rPr>
            </w:pPr>
          </w:p>
        </w:tc>
        <w:tc>
          <w:tcPr>
            <w:tcW w:w="3115" w:type="dxa"/>
            <w:tcBorders>
              <w:top w:val="nil"/>
              <w:left w:val="nil"/>
              <w:bottom w:val="nil"/>
              <w:right w:val="nil"/>
            </w:tcBorders>
            <w:shd w:val="clear" w:color="auto" w:fill="auto"/>
            <w:noWrap/>
            <w:vAlign w:val="bottom"/>
            <w:hideMark/>
          </w:tcPr>
          <w:p w:rsidR="0090301F" w:rsidRPr="00712C0B" w:rsidRDefault="0090301F" w:rsidP="00712C0B">
            <w:pPr>
              <w:spacing w:after="0"/>
              <w:rPr>
                <w:rFonts w:ascii="Times New Roman" w:hAnsi="Times New Roman"/>
                <w:szCs w:val="22"/>
              </w:rPr>
            </w:pPr>
          </w:p>
        </w:tc>
        <w:tc>
          <w:tcPr>
            <w:tcW w:w="1375"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i/>
                <w:iCs/>
                <w:szCs w:val="22"/>
              </w:rPr>
            </w:pPr>
          </w:p>
        </w:tc>
        <w:tc>
          <w:tcPr>
            <w:tcW w:w="1418" w:type="dxa"/>
            <w:tcBorders>
              <w:top w:val="nil"/>
              <w:left w:val="nil"/>
              <w:bottom w:val="nil"/>
              <w:right w:val="nil"/>
            </w:tcBorders>
            <w:shd w:val="clear" w:color="auto" w:fill="auto"/>
            <w:noWrap/>
            <w:vAlign w:val="bottom"/>
            <w:hideMark/>
          </w:tcPr>
          <w:p w:rsidR="0090301F" w:rsidRPr="00712C0B" w:rsidRDefault="0090301F" w:rsidP="00712C0B">
            <w:pPr>
              <w:spacing w:after="0"/>
              <w:jc w:val="right"/>
              <w:rPr>
                <w:rFonts w:ascii="Times New Roman" w:hAnsi="Times New Roman"/>
                <w:szCs w:val="22"/>
              </w:rPr>
            </w:pPr>
          </w:p>
        </w:tc>
        <w:tc>
          <w:tcPr>
            <w:tcW w:w="1318" w:type="dxa"/>
            <w:tcBorders>
              <w:top w:val="nil"/>
              <w:left w:val="nil"/>
              <w:bottom w:val="nil"/>
              <w:right w:val="nil"/>
            </w:tcBorders>
            <w:shd w:val="clear" w:color="auto" w:fill="EEECE1"/>
            <w:noWrap/>
            <w:vAlign w:val="bottom"/>
            <w:hideMark/>
          </w:tcPr>
          <w:p w:rsidR="0090301F" w:rsidRPr="00712C0B" w:rsidRDefault="0090301F" w:rsidP="00712C0B">
            <w:pPr>
              <w:spacing w:after="0"/>
              <w:jc w:val="right"/>
              <w:rPr>
                <w:rFonts w:ascii="Times New Roman" w:hAnsi="Times New Roman"/>
                <w:i/>
                <w:iCs/>
                <w:szCs w:val="22"/>
              </w:rPr>
            </w:pPr>
          </w:p>
        </w:tc>
      </w:tr>
      <w:tr w:rsidR="00712C0B" w:rsidRPr="00712C0B" w:rsidTr="00712C0B">
        <w:tc>
          <w:tcPr>
            <w:tcW w:w="1318"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172,234.44</w:t>
            </w:r>
          </w:p>
        </w:tc>
        <w:tc>
          <w:tcPr>
            <w:tcW w:w="1416"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170,888.85</w:t>
            </w:r>
          </w:p>
        </w:tc>
        <w:tc>
          <w:tcPr>
            <w:tcW w:w="3115" w:type="dxa"/>
            <w:tcBorders>
              <w:top w:val="nil"/>
              <w:left w:val="nil"/>
              <w:bottom w:val="nil"/>
              <w:right w:val="nil"/>
            </w:tcBorders>
            <w:shd w:val="clear" w:color="auto" w:fill="auto"/>
            <w:noWrap/>
            <w:vAlign w:val="bottom"/>
            <w:hideMark/>
          </w:tcPr>
          <w:p w:rsidR="00712C0B" w:rsidRPr="00712C0B" w:rsidRDefault="00712C0B" w:rsidP="00712C0B">
            <w:pPr>
              <w:spacing w:after="0"/>
              <w:rPr>
                <w:rFonts w:ascii="Times New Roman" w:hAnsi="Times New Roman"/>
                <w:b/>
                <w:bCs/>
                <w:sz w:val="24"/>
                <w:szCs w:val="24"/>
              </w:rPr>
            </w:pPr>
            <w:r w:rsidRPr="00712C0B">
              <w:rPr>
                <w:rFonts w:ascii="Times New Roman" w:hAnsi="Times New Roman"/>
                <w:b/>
                <w:bCs/>
              </w:rPr>
              <w:t>Total General Fund outgo</w:t>
            </w:r>
          </w:p>
        </w:tc>
        <w:tc>
          <w:tcPr>
            <w:tcW w:w="1375"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i/>
                <w:iCs/>
                <w:sz w:val="24"/>
                <w:szCs w:val="24"/>
              </w:rPr>
            </w:pPr>
            <w:r w:rsidRPr="00712C0B">
              <w:rPr>
                <w:rFonts w:ascii="Times New Roman" w:hAnsi="Times New Roman"/>
                <w:b/>
                <w:bCs/>
                <w:i/>
                <w:iCs/>
              </w:rPr>
              <w:t>180,650</w:t>
            </w:r>
          </w:p>
        </w:tc>
        <w:tc>
          <w:tcPr>
            <w:tcW w:w="1418"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szCs w:val="22"/>
              </w:rPr>
            </w:pPr>
            <w:r w:rsidRPr="00712C0B">
              <w:rPr>
                <w:rFonts w:ascii="Times New Roman" w:hAnsi="Times New Roman"/>
                <w:b/>
                <w:bCs/>
                <w:szCs w:val="22"/>
              </w:rPr>
              <w:t>175,359.61</w:t>
            </w:r>
          </w:p>
        </w:tc>
        <w:tc>
          <w:tcPr>
            <w:tcW w:w="1318" w:type="dxa"/>
            <w:tcBorders>
              <w:top w:val="nil"/>
              <w:left w:val="nil"/>
              <w:bottom w:val="nil"/>
              <w:right w:val="nil"/>
            </w:tcBorders>
            <w:shd w:val="clear" w:color="auto" w:fill="EEECE1"/>
            <w:noWrap/>
            <w:vAlign w:val="bottom"/>
          </w:tcPr>
          <w:p w:rsidR="00712C0B" w:rsidRPr="00712C0B" w:rsidRDefault="00712C0B" w:rsidP="00712C0B">
            <w:pPr>
              <w:spacing w:after="0"/>
              <w:jc w:val="right"/>
              <w:rPr>
                <w:rFonts w:ascii="Times New Roman" w:hAnsi="Times New Roman"/>
                <w:b/>
                <w:bCs/>
                <w:i/>
                <w:sz w:val="24"/>
                <w:szCs w:val="24"/>
              </w:rPr>
            </w:pPr>
            <w:r w:rsidRPr="00712C0B">
              <w:rPr>
                <w:rFonts w:ascii="Times New Roman" w:hAnsi="Times New Roman"/>
                <w:b/>
                <w:bCs/>
                <w:i/>
              </w:rPr>
              <w:t>161,620</w:t>
            </w:r>
          </w:p>
        </w:tc>
      </w:tr>
      <w:tr w:rsidR="00712C0B" w:rsidRPr="00712C0B" w:rsidTr="00712C0B">
        <w:tc>
          <w:tcPr>
            <w:tcW w:w="1318" w:type="dxa"/>
            <w:tcBorders>
              <w:top w:val="nil"/>
              <w:left w:val="nil"/>
              <w:bottom w:val="nil"/>
              <w:right w:val="nil"/>
            </w:tcBorders>
            <w:shd w:val="clear" w:color="auto" w:fill="auto"/>
            <w:noWrap/>
            <w:vAlign w:val="bottom"/>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1,327.27</w:t>
            </w:r>
          </w:p>
        </w:tc>
        <w:tc>
          <w:tcPr>
            <w:tcW w:w="1416" w:type="dxa"/>
            <w:tcBorders>
              <w:top w:val="nil"/>
              <w:left w:val="nil"/>
              <w:bottom w:val="nil"/>
              <w:right w:val="nil"/>
            </w:tcBorders>
            <w:shd w:val="clear" w:color="auto" w:fill="auto"/>
            <w:noWrap/>
            <w:vAlign w:val="bottom"/>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4,336.94</w:t>
            </w:r>
          </w:p>
        </w:tc>
        <w:tc>
          <w:tcPr>
            <w:tcW w:w="3115" w:type="dxa"/>
            <w:tcBorders>
              <w:top w:val="nil"/>
              <w:left w:val="nil"/>
              <w:bottom w:val="nil"/>
              <w:right w:val="nil"/>
            </w:tcBorders>
            <w:shd w:val="clear" w:color="auto" w:fill="auto"/>
            <w:noWrap/>
            <w:vAlign w:val="bottom"/>
          </w:tcPr>
          <w:p w:rsidR="00712C0B" w:rsidRPr="00712C0B" w:rsidRDefault="00712C0B" w:rsidP="00712C0B">
            <w:pPr>
              <w:spacing w:after="0"/>
              <w:rPr>
                <w:rFonts w:ascii="Times New Roman" w:hAnsi="Times New Roman"/>
                <w:b/>
                <w:bCs/>
                <w:sz w:val="24"/>
                <w:szCs w:val="24"/>
              </w:rPr>
            </w:pPr>
            <w:r w:rsidRPr="00712C0B">
              <w:rPr>
                <w:rFonts w:ascii="Times New Roman" w:hAnsi="Times New Roman"/>
                <w:b/>
                <w:bCs/>
              </w:rPr>
              <w:t>Excess of Income over Outgo</w:t>
            </w:r>
          </w:p>
        </w:tc>
        <w:tc>
          <w:tcPr>
            <w:tcW w:w="1375" w:type="dxa"/>
            <w:tcBorders>
              <w:top w:val="nil"/>
              <w:left w:val="nil"/>
              <w:bottom w:val="nil"/>
              <w:right w:val="nil"/>
            </w:tcBorders>
            <w:shd w:val="clear" w:color="auto" w:fill="auto"/>
            <w:noWrap/>
            <w:vAlign w:val="bottom"/>
          </w:tcPr>
          <w:p w:rsidR="00712C0B" w:rsidRPr="00712C0B" w:rsidRDefault="00712C0B" w:rsidP="00712C0B">
            <w:pPr>
              <w:spacing w:after="0"/>
              <w:jc w:val="right"/>
              <w:rPr>
                <w:rFonts w:ascii="Times New Roman" w:hAnsi="Times New Roman"/>
                <w:b/>
                <w:bCs/>
                <w:i/>
                <w:iCs/>
                <w:szCs w:val="22"/>
              </w:rPr>
            </w:pPr>
            <w:r w:rsidRPr="00712C0B">
              <w:rPr>
                <w:rFonts w:ascii="Times New Roman" w:hAnsi="Times New Roman"/>
                <w:b/>
                <w:bCs/>
                <w:i/>
                <w:iCs/>
                <w:szCs w:val="22"/>
              </w:rPr>
              <w:t>0</w:t>
            </w:r>
          </w:p>
        </w:tc>
        <w:tc>
          <w:tcPr>
            <w:tcW w:w="1418" w:type="dxa"/>
            <w:tcBorders>
              <w:top w:val="nil"/>
              <w:left w:val="nil"/>
              <w:bottom w:val="nil"/>
              <w:right w:val="nil"/>
            </w:tcBorders>
            <w:shd w:val="clear" w:color="auto" w:fill="auto"/>
            <w:noWrap/>
            <w:vAlign w:val="bottom"/>
          </w:tcPr>
          <w:p w:rsidR="00712C0B" w:rsidRPr="00712C0B" w:rsidRDefault="00712C0B" w:rsidP="00712C0B">
            <w:pPr>
              <w:spacing w:after="0"/>
              <w:jc w:val="right"/>
              <w:rPr>
                <w:rFonts w:ascii="Times New Roman" w:hAnsi="Times New Roman"/>
                <w:b/>
                <w:bCs/>
                <w:szCs w:val="22"/>
              </w:rPr>
            </w:pPr>
            <w:r w:rsidRPr="00712C0B">
              <w:rPr>
                <w:rFonts w:ascii="Times New Roman" w:hAnsi="Times New Roman"/>
                <w:b/>
                <w:bCs/>
                <w:szCs w:val="22"/>
              </w:rPr>
              <w:t>19,906.01</w:t>
            </w:r>
          </w:p>
        </w:tc>
        <w:tc>
          <w:tcPr>
            <w:tcW w:w="1318" w:type="dxa"/>
            <w:tcBorders>
              <w:top w:val="nil"/>
              <w:left w:val="nil"/>
              <w:bottom w:val="nil"/>
              <w:right w:val="nil"/>
            </w:tcBorders>
            <w:shd w:val="clear" w:color="auto" w:fill="EEECE1"/>
            <w:noWrap/>
            <w:vAlign w:val="bottom"/>
          </w:tcPr>
          <w:p w:rsidR="00712C0B" w:rsidRPr="00712C0B" w:rsidRDefault="00712C0B" w:rsidP="00712C0B">
            <w:pPr>
              <w:spacing w:after="0"/>
              <w:jc w:val="right"/>
              <w:rPr>
                <w:rFonts w:ascii="Times New Roman" w:hAnsi="Times New Roman"/>
                <w:b/>
                <w:bCs/>
                <w:i/>
                <w:szCs w:val="22"/>
              </w:rPr>
            </w:pPr>
            <w:r w:rsidRPr="00712C0B">
              <w:rPr>
                <w:rFonts w:ascii="Times New Roman" w:hAnsi="Times New Roman"/>
                <w:b/>
                <w:bCs/>
                <w:i/>
                <w:szCs w:val="22"/>
              </w:rPr>
              <w:t>-20,000</w:t>
            </w:r>
          </w:p>
        </w:tc>
      </w:tr>
      <w:tr w:rsidR="00712C0B" w:rsidRPr="00712C0B" w:rsidTr="00712C0B">
        <w:tc>
          <w:tcPr>
            <w:tcW w:w="1318"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55,238.23</w:t>
            </w:r>
          </w:p>
        </w:tc>
        <w:tc>
          <w:tcPr>
            <w:tcW w:w="1416"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56,565.50</w:t>
            </w:r>
          </w:p>
        </w:tc>
        <w:tc>
          <w:tcPr>
            <w:tcW w:w="3115" w:type="dxa"/>
            <w:tcBorders>
              <w:top w:val="nil"/>
              <w:left w:val="nil"/>
              <w:bottom w:val="nil"/>
              <w:right w:val="nil"/>
            </w:tcBorders>
            <w:shd w:val="clear" w:color="auto" w:fill="auto"/>
            <w:noWrap/>
            <w:vAlign w:val="bottom"/>
            <w:hideMark/>
          </w:tcPr>
          <w:p w:rsidR="00712C0B" w:rsidRPr="00712C0B" w:rsidRDefault="00712C0B" w:rsidP="00712C0B">
            <w:pPr>
              <w:spacing w:after="0"/>
              <w:rPr>
                <w:rFonts w:ascii="Times New Roman" w:hAnsi="Times New Roman"/>
                <w:b/>
                <w:bCs/>
                <w:sz w:val="24"/>
                <w:szCs w:val="24"/>
              </w:rPr>
            </w:pPr>
            <w:r w:rsidRPr="00712C0B">
              <w:rPr>
                <w:rFonts w:ascii="Times New Roman" w:hAnsi="Times New Roman"/>
                <w:b/>
                <w:bCs/>
              </w:rPr>
              <w:t>Balance at beginning of year</w:t>
            </w:r>
          </w:p>
        </w:tc>
        <w:tc>
          <w:tcPr>
            <w:tcW w:w="1375"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szCs w:val="22"/>
              </w:rPr>
            </w:pPr>
            <w:r w:rsidRPr="00712C0B">
              <w:rPr>
                <w:rFonts w:ascii="Times New Roman" w:hAnsi="Times New Roman"/>
                <w:b/>
                <w:bCs/>
                <w:szCs w:val="22"/>
              </w:rPr>
              <w:t>60902.44</w:t>
            </w:r>
          </w:p>
        </w:tc>
        <w:tc>
          <w:tcPr>
            <w:tcW w:w="1318" w:type="dxa"/>
            <w:tcBorders>
              <w:top w:val="nil"/>
              <w:left w:val="nil"/>
              <w:bottom w:val="nil"/>
              <w:right w:val="nil"/>
            </w:tcBorders>
            <w:shd w:val="clear" w:color="auto" w:fill="EEECE1"/>
            <w:noWrap/>
            <w:vAlign w:val="bottom"/>
          </w:tcPr>
          <w:p w:rsidR="00712C0B" w:rsidRPr="00712C0B" w:rsidRDefault="00712C0B" w:rsidP="00712C0B">
            <w:pPr>
              <w:spacing w:after="0"/>
              <w:jc w:val="right"/>
              <w:rPr>
                <w:rFonts w:ascii="Times New Roman" w:hAnsi="Times New Roman"/>
                <w:b/>
                <w:bCs/>
                <w:i/>
                <w:iCs/>
                <w:szCs w:val="22"/>
              </w:rPr>
            </w:pPr>
            <w:r w:rsidRPr="00712C0B">
              <w:rPr>
                <w:rFonts w:ascii="Times New Roman" w:hAnsi="Times New Roman"/>
                <w:b/>
                <w:bCs/>
                <w:i/>
                <w:iCs/>
                <w:szCs w:val="22"/>
              </w:rPr>
              <w:t>80,808</w:t>
            </w:r>
          </w:p>
        </w:tc>
      </w:tr>
      <w:tr w:rsidR="00712C0B" w:rsidRPr="00712C0B" w:rsidTr="00712C0B">
        <w:trPr>
          <w:trHeight w:val="315"/>
        </w:trPr>
        <w:tc>
          <w:tcPr>
            <w:tcW w:w="1318" w:type="dxa"/>
            <w:tcBorders>
              <w:top w:val="nil"/>
              <w:left w:val="nil"/>
              <w:bottom w:val="nil"/>
              <w:right w:val="nil"/>
            </w:tcBorders>
            <w:shd w:val="clear" w:color="auto" w:fill="auto"/>
            <w:noWrap/>
            <w:vAlign w:val="bottom"/>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56,565.50</w:t>
            </w:r>
          </w:p>
        </w:tc>
        <w:tc>
          <w:tcPr>
            <w:tcW w:w="1416" w:type="dxa"/>
            <w:tcBorders>
              <w:top w:val="nil"/>
              <w:left w:val="nil"/>
              <w:bottom w:val="nil"/>
              <w:right w:val="nil"/>
            </w:tcBorders>
            <w:shd w:val="clear" w:color="auto" w:fill="auto"/>
            <w:noWrap/>
            <w:vAlign w:val="bottom"/>
          </w:tcPr>
          <w:p w:rsidR="00712C0B" w:rsidRPr="00712C0B" w:rsidRDefault="00712C0B" w:rsidP="00712C0B">
            <w:pPr>
              <w:spacing w:after="0"/>
              <w:jc w:val="right"/>
              <w:rPr>
                <w:rFonts w:ascii="Times New Roman" w:hAnsi="Times New Roman"/>
                <w:b/>
                <w:bCs/>
                <w:sz w:val="24"/>
                <w:szCs w:val="24"/>
              </w:rPr>
            </w:pPr>
            <w:r w:rsidRPr="00712C0B">
              <w:rPr>
                <w:rFonts w:ascii="Times New Roman" w:hAnsi="Times New Roman"/>
                <w:b/>
                <w:bCs/>
              </w:rPr>
              <w:t>60,902.44</w:t>
            </w:r>
          </w:p>
        </w:tc>
        <w:tc>
          <w:tcPr>
            <w:tcW w:w="3115" w:type="dxa"/>
            <w:tcBorders>
              <w:top w:val="nil"/>
              <w:left w:val="nil"/>
              <w:bottom w:val="nil"/>
              <w:right w:val="nil"/>
            </w:tcBorders>
            <w:shd w:val="clear" w:color="auto" w:fill="auto"/>
            <w:noWrap/>
            <w:vAlign w:val="bottom"/>
            <w:hideMark/>
          </w:tcPr>
          <w:p w:rsidR="00712C0B" w:rsidRPr="00712C0B" w:rsidRDefault="00712C0B" w:rsidP="00712C0B">
            <w:pPr>
              <w:spacing w:after="0"/>
              <w:rPr>
                <w:rFonts w:ascii="Times New Roman" w:hAnsi="Times New Roman"/>
                <w:b/>
                <w:bCs/>
                <w:sz w:val="24"/>
                <w:szCs w:val="24"/>
              </w:rPr>
            </w:pPr>
            <w:r w:rsidRPr="00712C0B">
              <w:rPr>
                <w:rFonts w:ascii="Times New Roman" w:hAnsi="Times New Roman"/>
                <w:b/>
                <w:bCs/>
              </w:rPr>
              <w:t>Balance at end of year</w:t>
            </w:r>
          </w:p>
        </w:tc>
        <w:tc>
          <w:tcPr>
            <w:tcW w:w="1375" w:type="dxa"/>
            <w:tcBorders>
              <w:top w:val="nil"/>
              <w:left w:val="nil"/>
              <w:bottom w:val="nil"/>
              <w:right w:val="nil"/>
            </w:tcBorders>
            <w:shd w:val="clear" w:color="auto" w:fill="auto"/>
            <w:noWrap/>
            <w:vAlign w:val="bottom"/>
          </w:tcPr>
          <w:p w:rsidR="00712C0B" w:rsidRPr="00712C0B" w:rsidRDefault="00712C0B" w:rsidP="00712C0B">
            <w:pPr>
              <w:spacing w:after="0"/>
              <w:jc w:val="right"/>
              <w:rPr>
                <w:rFonts w:ascii="Times New Roman" w:hAnsi="Times New Roman"/>
                <w:b/>
                <w:bCs/>
                <w:i/>
                <w:iCs/>
                <w:szCs w:val="22"/>
              </w:rPr>
            </w:pPr>
          </w:p>
        </w:tc>
        <w:tc>
          <w:tcPr>
            <w:tcW w:w="1418" w:type="dxa"/>
            <w:tcBorders>
              <w:top w:val="nil"/>
              <w:left w:val="nil"/>
              <w:bottom w:val="nil"/>
              <w:right w:val="nil"/>
            </w:tcBorders>
            <w:shd w:val="clear" w:color="auto" w:fill="auto"/>
            <w:noWrap/>
            <w:vAlign w:val="bottom"/>
            <w:hideMark/>
          </w:tcPr>
          <w:p w:rsidR="00712C0B" w:rsidRPr="00712C0B" w:rsidRDefault="00712C0B" w:rsidP="00712C0B">
            <w:pPr>
              <w:spacing w:after="0"/>
              <w:jc w:val="right"/>
              <w:rPr>
                <w:rFonts w:ascii="Times New Roman" w:hAnsi="Times New Roman"/>
                <w:b/>
                <w:bCs/>
                <w:szCs w:val="22"/>
              </w:rPr>
            </w:pPr>
            <w:r w:rsidRPr="00712C0B">
              <w:rPr>
                <w:rFonts w:ascii="Times New Roman" w:hAnsi="Times New Roman"/>
                <w:b/>
                <w:bCs/>
                <w:szCs w:val="22"/>
              </w:rPr>
              <w:t>80808.45</w:t>
            </w:r>
          </w:p>
        </w:tc>
        <w:tc>
          <w:tcPr>
            <w:tcW w:w="1318" w:type="dxa"/>
            <w:tcBorders>
              <w:top w:val="nil"/>
              <w:left w:val="nil"/>
              <w:bottom w:val="nil"/>
              <w:right w:val="nil"/>
            </w:tcBorders>
            <w:shd w:val="clear" w:color="auto" w:fill="EEECE1"/>
            <w:noWrap/>
            <w:vAlign w:val="bottom"/>
          </w:tcPr>
          <w:p w:rsidR="00712C0B" w:rsidRPr="00712C0B" w:rsidRDefault="00712C0B" w:rsidP="00712C0B">
            <w:pPr>
              <w:spacing w:after="0"/>
              <w:jc w:val="right"/>
              <w:rPr>
                <w:rFonts w:ascii="Times New Roman" w:hAnsi="Times New Roman"/>
                <w:b/>
                <w:bCs/>
                <w:i/>
                <w:iCs/>
                <w:szCs w:val="22"/>
              </w:rPr>
            </w:pPr>
            <w:r w:rsidRPr="00712C0B">
              <w:rPr>
                <w:rFonts w:ascii="Times New Roman" w:hAnsi="Times New Roman"/>
                <w:b/>
                <w:bCs/>
                <w:i/>
                <w:iCs/>
                <w:szCs w:val="22"/>
              </w:rPr>
              <w:t>60,808</w:t>
            </w:r>
          </w:p>
        </w:tc>
      </w:tr>
    </w:tbl>
    <w:p w:rsidR="0043489B" w:rsidRDefault="00712C0B" w:rsidP="00712C0B">
      <w:pPr>
        <w:jc w:val="left"/>
      </w:pPr>
      <w:r w:rsidRPr="00712C0B">
        <w:rPr>
          <w:rFonts w:ascii="Times New Roman" w:hAnsi="Times New Roman"/>
        </w:rPr>
        <w:t>"Other income" is the Federal Government Covid 19 assistance which is being transferred to Regional Meetings in 2020/21</w:t>
      </w:r>
      <w:r w:rsidR="001D1D53">
        <w:rPr>
          <w:rFonts w:ascii="Times New Roman" w:hAnsi="Times New Roman"/>
        </w:rPr>
        <w:t xml:space="preserve"> - </w:t>
      </w:r>
      <w:r w:rsidRPr="00712C0B">
        <w:rPr>
          <w:rFonts w:ascii="Times New Roman" w:hAnsi="Times New Roman"/>
        </w:rPr>
        <w:t>The budget deficit in 2020/21 is a return of the surplus in 2019/20</w:t>
      </w:r>
      <w:r w:rsidR="0043489B">
        <w:br w:type="page"/>
      </w:r>
    </w:p>
    <w:p w:rsidR="0043489B" w:rsidRPr="00EF1B36" w:rsidRDefault="0043489B" w:rsidP="0043489B">
      <w:pPr>
        <w:jc w:val="center"/>
        <w:rPr>
          <w:sz w:val="28"/>
          <w:szCs w:val="28"/>
        </w:rPr>
      </w:pPr>
      <w:r w:rsidRPr="00EF1B36">
        <w:rPr>
          <w:rFonts w:ascii="Times New Roman" w:hAnsi="Times New Roman"/>
          <w:b/>
          <w:bCs/>
          <w:sz w:val="28"/>
          <w:szCs w:val="28"/>
          <w:lang w:eastAsia="en-AU"/>
        </w:rPr>
        <w:lastRenderedPageBreak/>
        <w:t>Assets as at 30 September 20</w:t>
      </w:r>
      <w:r w:rsidR="00A94F42">
        <w:rPr>
          <w:rFonts w:ascii="Times New Roman" w:hAnsi="Times New Roman"/>
          <w:b/>
          <w:bCs/>
          <w:sz w:val="28"/>
          <w:szCs w:val="28"/>
          <w:lang w:eastAsia="en-AU"/>
        </w:rPr>
        <w:t>20</w:t>
      </w:r>
    </w:p>
    <w:tbl>
      <w:tblPr>
        <w:tblW w:w="6031" w:type="dxa"/>
        <w:tblInd w:w="2160" w:type="dxa"/>
        <w:tblLook w:val="04A0" w:firstRow="1" w:lastRow="0" w:firstColumn="1" w:lastColumn="0" w:noHBand="0" w:noVBand="1"/>
      </w:tblPr>
      <w:tblGrid>
        <w:gridCol w:w="3539"/>
        <w:gridCol w:w="485"/>
        <w:gridCol w:w="2007"/>
      </w:tblGrid>
      <w:tr w:rsidR="009F141E" w:rsidRPr="00EF1B36" w:rsidTr="001D1D53">
        <w:trPr>
          <w:trHeight w:val="315"/>
        </w:trPr>
        <w:tc>
          <w:tcPr>
            <w:tcW w:w="3539" w:type="dxa"/>
            <w:tcBorders>
              <w:top w:val="nil"/>
              <w:left w:val="nil"/>
              <w:bottom w:val="nil"/>
              <w:right w:val="nil"/>
            </w:tcBorders>
            <w:shd w:val="clear" w:color="000000" w:fill="FFFFFF"/>
            <w:vAlign w:val="bottom"/>
          </w:tcPr>
          <w:p w:rsidR="009F141E" w:rsidRPr="001D1D53" w:rsidRDefault="009F141E" w:rsidP="001D1D53">
            <w:pPr>
              <w:spacing w:after="0"/>
              <w:jc w:val="left"/>
              <w:rPr>
                <w:rFonts w:ascii="Times New Roman" w:hAnsi="Times New Roman"/>
                <w:szCs w:val="22"/>
                <w:lang w:eastAsia="en-AU"/>
              </w:rPr>
            </w:pPr>
          </w:p>
        </w:tc>
        <w:tc>
          <w:tcPr>
            <w:tcW w:w="485" w:type="dxa"/>
            <w:tcBorders>
              <w:top w:val="nil"/>
              <w:left w:val="nil"/>
              <w:bottom w:val="nil"/>
              <w:right w:val="nil"/>
            </w:tcBorders>
            <w:shd w:val="clear" w:color="000000" w:fill="FFFFFF"/>
            <w:vAlign w:val="bottom"/>
          </w:tcPr>
          <w:p w:rsidR="009F141E" w:rsidRPr="001D1D53" w:rsidRDefault="009F141E" w:rsidP="001D1D53">
            <w:pPr>
              <w:spacing w:after="0"/>
              <w:jc w:val="left"/>
              <w:rPr>
                <w:rFonts w:ascii="Times New Roman" w:hAnsi="Times New Roman"/>
                <w:szCs w:val="22"/>
                <w:lang w:eastAsia="en-AU"/>
              </w:rPr>
            </w:pPr>
          </w:p>
        </w:tc>
        <w:tc>
          <w:tcPr>
            <w:tcW w:w="2007" w:type="dxa"/>
            <w:tcBorders>
              <w:top w:val="nil"/>
              <w:left w:val="nil"/>
              <w:bottom w:val="nil"/>
              <w:right w:val="nil"/>
            </w:tcBorders>
            <w:shd w:val="clear" w:color="auto" w:fill="auto"/>
            <w:noWrap/>
            <w:vAlign w:val="bottom"/>
          </w:tcPr>
          <w:p w:rsidR="009F141E" w:rsidRPr="001D1D53" w:rsidRDefault="009F141E" w:rsidP="001D1D53">
            <w:pPr>
              <w:spacing w:after="0"/>
              <w:jc w:val="right"/>
              <w:rPr>
                <w:rFonts w:ascii="Times New Roman" w:hAnsi="Times New Roman"/>
                <w:szCs w:val="22"/>
              </w:rPr>
            </w:pPr>
            <w:r w:rsidRPr="001D1D53">
              <w:rPr>
                <w:rFonts w:ascii="Times New Roman" w:hAnsi="Times New Roman"/>
                <w:szCs w:val="22"/>
              </w:rPr>
              <w:t>$.cc</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Bank accounts</w:t>
            </w:r>
          </w:p>
        </w:tc>
        <w:tc>
          <w:tcPr>
            <w:tcW w:w="485" w:type="dxa"/>
            <w:tcBorders>
              <w:top w:val="nil"/>
              <w:left w:val="nil"/>
              <w:bottom w:val="nil"/>
              <w:right w:val="nil"/>
            </w:tcBorders>
            <w:shd w:val="clear" w:color="000000" w:fill="FFFFFF"/>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(1)</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116,657.34</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Term deposits</w:t>
            </w:r>
          </w:p>
        </w:tc>
        <w:tc>
          <w:tcPr>
            <w:tcW w:w="485" w:type="dxa"/>
            <w:tcBorders>
              <w:top w:val="nil"/>
              <w:left w:val="nil"/>
              <w:bottom w:val="nil"/>
              <w:right w:val="nil"/>
            </w:tcBorders>
            <w:shd w:val="clear" w:color="000000" w:fill="FFFFFF"/>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(2)</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141,020.00</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Loan to Friends School</w:t>
            </w:r>
          </w:p>
        </w:tc>
        <w:tc>
          <w:tcPr>
            <w:tcW w:w="485" w:type="dxa"/>
            <w:tcBorders>
              <w:top w:val="nil"/>
              <w:left w:val="nil"/>
              <w:bottom w:val="nil"/>
              <w:right w:val="nil"/>
            </w:tcBorders>
            <w:shd w:val="clear" w:color="000000" w:fill="FFFFFF"/>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58,000.00</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Kangaroo Valley Shares (at cost)</w:t>
            </w:r>
          </w:p>
        </w:tc>
        <w:tc>
          <w:tcPr>
            <w:tcW w:w="485" w:type="dxa"/>
            <w:tcBorders>
              <w:top w:val="nil"/>
              <w:left w:val="nil"/>
              <w:bottom w:val="nil"/>
              <w:right w:val="nil"/>
            </w:tcBorders>
            <w:shd w:val="clear" w:color="000000" w:fill="FFFFFF"/>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(3)</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30,915.00</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Aust Ethical Investments Trusts</w:t>
            </w:r>
          </w:p>
        </w:tc>
        <w:tc>
          <w:tcPr>
            <w:tcW w:w="485" w:type="dxa"/>
            <w:tcBorders>
              <w:top w:val="nil"/>
              <w:left w:val="nil"/>
              <w:bottom w:val="nil"/>
              <w:right w:val="nil"/>
            </w:tcBorders>
            <w:shd w:val="clear" w:color="000000" w:fill="FFFFFF"/>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(4)</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321,556.60</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Praemium investment portfolio</w:t>
            </w:r>
          </w:p>
        </w:tc>
        <w:tc>
          <w:tcPr>
            <w:tcW w:w="485" w:type="dxa"/>
            <w:tcBorders>
              <w:top w:val="nil"/>
              <w:left w:val="nil"/>
              <w:bottom w:val="nil"/>
              <w:right w:val="nil"/>
            </w:tcBorders>
            <w:shd w:val="clear" w:color="000000" w:fill="FFFFFF"/>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(5)</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79,519.39</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Preference Shares</w:t>
            </w:r>
          </w:p>
        </w:tc>
        <w:tc>
          <w:tcPr>
            <w:tcW w:w="485" w:type="dxa"/>
            <w:tcBorders>
              <w:top w:val="nil"/>
              <w:left w:val="nil"/>
              <w:bottom w:val="nil"/>
              <w:right w:val="nil"/>
            </w:tcBorders>
            <w:shd w:val="clear" w:color="000000" w:fill="FFFFFF"/>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(6)</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301,437.05</w:t>
            </w: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The Sanctuary @ Valuation in 2018</w:t>
            </w:r>
          </w:p>
        </w:tc>
        <w:tc>
          <w:tcPr>
            <w:tcW w:w="485"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1,400,000.00</w:t>
            </w:r>
          </w:p>
        </w:tc>
      </w:tr>
      <w:tr w:rsidR="003C2854" w:rsidRPr="001D1D53" w:rsidTr="001D1D53">
        <w:trPr>
          <w:trHeight w:val="375"/>
        </w:trPr>
        <w:tc>
          <w:tcPr>
            <w:tcW w:w="3539" w:type="dxa"/>
            <w:tcBorders>
              <w:top w:val="nil"/>
              <w:left w:val="nil"/>
              <w:bottom w:val="nil"/>
              <w:right w:val="nil"/>
            </w:tcBorders>
            <w:shd w:val="clear" w:color="000000" w:fill="FFFFFF"/>
            <w:vAlign w:val="bottom"/>
            <w:hideMark/>
          </w:tcPr>
          <w:p w:rsidR="003C2854" w:rsidRPr="001D1D53" w:rsidRDefault="003C2854" w:rsidP="001D1D53">
            <w:pPr>
              <w:spacing w:after="0"/>
              <w:rPr>
                <w:rFonts w:ascii="Times New Roman" w:hAnsi="Times New Roman"/>
                <w:b/>
                <w:bCs/>
                <w:sz w:val="24"/>
                <w:szCs w:val="24"/>
              </w:rPr>
            </w:pPr>
            <w:r w:rsidRPr="001D1D53">
              <w:rPr>
                <w:rFonts w:ascii="Times New Roman" w:hAnsi="Times New Roman"/>
                <w:b/>
                <w:bCs/>
                <w:sz w:val="24"/>
                <w:szCs w:val="24"/>
              </w:rPr>
              <w:t>Total Assets</w:t>
            </w:r>
          </w:p>
        </w:tc>
        <w:tc>
          <w:tcPr>
            <w:tcW w:w="485" w:type="dxa"/>
            <w:tcBorders>
              <w:top w:val="nil"/>
              <w:left w:val="nil"/>
              <w:bottom w:val="nil"/>
              <w:right w:val="nil"/>
            </w:tcBorders>
            <w:shd w:val="clear" w:color="000000" w:fill="FFFFFF"/>
            <w:vAlign w:val="bottom"/>
            <w:hideMark/>
          </w:tcPr>
          <w:p w:rsidR="003C2854" w:rsidRPr="001D1D53" w:rsidRDefault="003C2854" w:rsidP="001D1D53">
            <w:pPr>
              <w:spacing w:after="0"/>
              <w:rPr>
                <w:rFonts w:ascii="Times New Roman" w:hAnsi="Times New Roman"/>
                <w:b/>
                <w:bCs/>
                <w:sz w:val="24"/>
                <w:szCs w:val="24"/>
              </w:rPr>
            </w:pPr>
            <w:r w:rsidRPr="001D1D53">
              <w:rPr>
                <w:rFonts w:ascii="Times New Roman" w:hAnsi="Times New Roman"/>
                <w:b/>
                <w:bCs/>
                <w:sz w:val="24"/>
                <w:szCs w:val="24"/>
              </w:rPr>
              <w:t> </w:t>
            </w:r>
          </w:p>
        </w:tc>
        <w:tc>
          <w:tcPr>
            <w:tcW w:w="2007" w:type="dxa"/>
            <w:tcBorders>
              <w:top w:val="nil"/>
              <w:left w:val="nil"/>
              <w:bottom w:val="nil"/>
              <w:right w:val="nil"/>
            </w:tcBorders>
            <w:shd w:val="clear" w:color="auto" w:fill="auto"/>
            <w:noWrap/>
            <w:vAlign w:val="bottom"/>
            <w:hideMark/>
          </w:tcPr>
          <w:p w:rsidR="003C2854" w:rsidRPr="001D1D53" w:rsidRDefault="001D1D53" w:rsidP="001D1D53">
            <w:pPr>
              <w:spacing w:after="0"/>
              <w:jc w:val="right"/>
              <w:rPr>
                <w:rFonts w:ascii="Times New Roman" w:hAnsi="Times New Roman"/>
                <w:b/>
                <w:bCs/>
                <w:sz w:val="24"/>
                <w:szCs w:val="24"/>
              </w:rPr>
            </w:pPr>
            <w:r w:rsidRPr="001D1D53">
              <w:rPr>
                <w:rFonts w:ascii="Times New Roman" w:hAnsi="Times New Roman"/>
                <w:b/>
                <w:bCs/>
                <w:sz w:val="24"/>
                <w:szCs w:val="24"/>
              </w:rPr>
              <w:t>$2,449,105.38</w:t>
            </w:r>
          </w:p>
        </w:tc>
      </w:tr>
      <w:tr w:rsidR="003C2854" w:rsidRPr="00EF1B36" w:rsidTr="001D1D53">
        <w:trPr>
          <w:trHeight w:val="375"/>
        </w:trPr>
        <w:tc>
          <w:tcPr>
            <w:tcW w:w="3539" w:type="dxa"/>
            <w:tcBorders>
              <w:top w:val="nil"/>
              <w:left w:val="nil"/>
              <w:bottom w:val="nil"/>
              <w:right w:val="nil"/>
            </w:tcBorders>
            <w:shd w:val="clear" w:color="000000" w:fill="FFFFFF"/>
            <w:vAlign w:val="bottom"/>
            <w:hideMark/>
          </w:tcPr>
          <w:p w:rsidR="003C2854" w:rsidRPr="001D1D53" w:rsidRDefault="003C2854" w:rsidP="001D1D53">
            <w:pPr>
              <w:spacing w:after="0"/>
              <w:rPr>
                <w:rFonts w:ascii="Times New Roman" w:hAnsi="Times New Roman"/>
                <w:szCs w:val="22"/>
              </w:rPr>
            </w:pPr>
            <w:r w:rsidRPr="001D1D53">
              <w:rPr>
                <w:rFonts w:ascii="Times New Roman" w:hAnsi="Times New Roman"/>
                <w:szCs w:val="22"/>
              </w:rPr>
              <w:t> </w:t>
            </w:r>
          </w:p>
        </w:tc>
        <w:tc>
          <w:tcPr>
            <w:tcW w:w="485" w:type="dxa"/>
            <w:tcBorders>
              <w:top w:val="nil"/>
              <w:left w:val="nil"/>
              <w:bottom w:val="nil"/>
              <w:right w:val="nil"/>
            </w:tcBorders>
            <w:shd w:val="clear" w:color="000000" w:fill="FFFFFF"/>
            <w:vAlign w:val="bottom"/>
            <w:hideMark/>
          </w:tcPr>
          <w:p w:rsidR="003C2854" w:rsidRPr="001D1D53" w:rsidRDefault="003C2854" w:rsidP="001D1D53">
            <w:pPr>
              <w:spacing w:after="0"/>
              <w:rPr>
                <w:rFonts w:ascii="Times New Roman" w:hAnsi="Times New Roman"/>
                <w:szCs w:val="22"/>
              </w:rPr>
            </w:pPr>
            <w:r w:rsidRPr="001D1D53">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rsidR="003C2854" w:rsidRPr="001D1D53" w:rsidRDefault="003C2854" w:rsidP="001D1D53">
            <w:pPr>
              <w:spacing w:after="0"/>
              <w:rPr>
                <w:rFonts w:ascii="Times New Roman" w:hAnsi="Times New Roman"/>
                <w:szCs w:val="22"/>
              </w:rPr>
            </w:pPr>
          </w:p>
        </w:tc>
      </w:tr>
      <w:tr w:rsidR="003C2854" w:rsidRPr="001D1D53" w:rsidTr="001D1D53">
        <w:trPr>
          <w:trHeight w:val="315"/>
        </w:trPr>
        <w:tc>
          <w:tcPr>
            <w:tcW w:w="3539" w:type="dxa"/>
            <w:tcBorders>
              <w:top w:val="nil"/>
              <w:left w:val="nil"/>
              <w:bottom w:val="nil"/>
              <w:right w:val="nil"/>
            </w:tcBorders>
            <w:shd w:val="clear" w:color="000000" w:fill="FFFFFF"/>
            <w:vAlign w:val="bottom"/>
            <w:hideMark/>
          </w:tcPr>
          <w:p w:rsidR="003C2854" w:rsidRPr="001D1D53" w:rsidRDefault="003C2854" w:rsidP="001D1D53">
            <w:pPr>
              <w:spacing w:after="0"/>
              <w:rPr>
                <w:rFonts w:ascii="Times New Roman" w:hAnsi="Times New Roman"/>
                <w:b/>
                <w:bCs/>
                <w:sz w:val="24"/>
                <w:szCs w:val="24"/>
              </w:rPr>
            </w:pPr>
            <w:r w:rsidRPr="001D1D53">
              <w:rPr>
                <w:rFonts w:ascii="Times New Roman" w:hAnsi="Times New Roman"/>
                <w:b/>
                <w:bCs/>
                <w:sz w:val="24"/>
                <w:szCs w:val="24"/>
              </w:rPr>
              <w:t>Liabilities</w:t>
            </w:r>
          </w:p>
        </w:tc>
        <w:tc>
          <w:tcPr>
            <w:tcW w:w="485" w:type="dxa"/>
            <w:tcBorders>
              <w:top w:val="nil"/>
              <w:left w:val="nil"/>
              <w:bottom w:val="nil"/>
              <w:right w:val="nil"/>
            </w:tcBorders>
            <w:shd w:val="clear" w:color="000000" w:fill="FFFFFF"/>
            <w:vAlign w:val="bottom"/>
            <w:hideMark/>
          </w:tcPr>
          <w:p w:rsidR="003C2854" w:rsidRPr="001D1D53" w:rsidRDefault="003C2854" w:rsidP="001D1D53">
            <w:pPr>
              <w:spacing w:after="0"/>
              <w:rPr>
                <w:rFonts w:ascii="Times New Roman" w:hAnsi="Times New Roman"/>
                <w:b/>
                <w:bCs/>
                <w:sz w:val="24"/>
                <w:szCs w:val="24"/>
              </w:rPr>
            </w:pPr>
            <w:r w:rsidRPr="001D1D53">
              <w:rPr>
                <w:rFonts w:ascii="Times New Roman" w:hAnsi="Times New Roman"/>
                <w:b/>
                <w:bCs/>
                <w:sz w:val="24"/>
                <w:szCs w:val="24"/>
              </w:rPr>
              <w:t> </w:t>
            </w:r>
          </w:p>
        </w:tc>
        <w:tc>
          <w:tcPr>
            <w:tcW w:w="2007" w:type="dxa"/>
            <w:tcBorders>
              <w:top w:val="nil"/>
              <w:left w:val="nil"/>
              <w:bottom w:val="nil"/>
              <w:right w:val="nil"/>
            </w:tcBorders>
            <w:shd w:val="clear" w:color="auto" w:fill="auto"/>
            <w:noWrap/>
            <w:vAlign w:val="bottom"/>
            <w:hideMark/>
          </w:tcPr>
          <w:p w:rsidR="003C2854" w:rsidRPr="001D1D53" w:rsidRDefault="003C2854" w:rsidP="001D1D53">
            <w:pPr>
              <w:spacing w:after="0"/>
              <w:rPr>
                <w:rFonts w:ascii="Times New Roman" w:hAnsi="Times New Roman"/>
                <w:b/>
                <w:bCs/>
                <w:sz w:val="24"/>
                <w:szCs w:val="24"/>
              </w:rPr>
            </w:pPr>
          </w:p>
        </w:tc>
      </w:tr>
      <w:tr w:rsidR="001D1D53" w:rsidRPr="00EF1B36" w:rsidTr="001D1D53">
        <w:trPr>
          <w:trHeight w:val="31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Due to other Quaker organisations</w:t>
            </w:r>
          </w:p>
        </w:tc>
        <w:tc>
          <w:tcPr>
            <w:tcW w:w="485"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 xml:space="preserve">$8,250.80 </w:t>
            </w:r>
          </w:p>
        </w:tc>
      </w:tr>
      <w:tr w:rsidR="001D1D53" w:rsidRPr="00EF1B36" w:rsidTr="001D1D53">
        <w:trPr>
          <w:trHeight w:val="375"/>
        </w:trPr>
        <w:tc>
          <w:tcPr>
            <w:tcW w:w="3539"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Amounts due to/from others</w:t>
            </w:r>
          </w:p>
        </w:tc>
        <w:tc>
          <w:tcPr>
            <w:tcW w:w="485" w:type="dxa"/>
            <w:tcBorders>
              <w:top w:val="nil"/>
              <w:left w:val="nil"/>
              <w:bottom w:val="nil"/>
              <w:right w:val="nil"/>
            </w:tcBorders>
            <w:shd w:val="clear" w:color="000000" w:fill="FFFFFF"/>
            <w:vAlign w:val="bottom"/>
            <w:hideMark/>
          </w:tcPr>
          <w:p w:rsidR="001D1D53" w:rsidRPr="001D1D53" w:rsidRDefault="001D1D53" w:rsidP="001D1D53">
            <w:pPr>
              <w:spacing w:after="0"/>
              <w:rPr>
                <w:rFonts w:ascii="Times New Roman" w:hAnsi="Times New Roman"/>
                <w:szCs w:val="22"/>
              </w:rPr>
            </w:pPr>
            <w:r w:rsidRPr="001D1D53">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rsidR="001D1D53" w:rsidRPr="001D1D53" w:rsidRDefault="001D1D53" w:rsidP="001D1D53">
            <w:pPr>
              <w:spacing w:after="0"/>
              <w:jc w:val="right"/>
              <w:rPr>
                <w:rFonts w:ascii="Times New Roman" w:hAnsi="Times New Roman"/>
                <w:szCs w:val="22"/>
              </w:rPr>
            </w:pPr>
            <w:r w:rsidRPr="001D1D53">
              <w:rPr>
                <w:rFonts w:ascii="Times New Roman" w:hAnsi="Times New Roman"/>
                <w:szCs w:val="22"/>
              </w:rPr>
              <w:t xml:space="preserve">$0.03 </w:t>
            </w:r>
          </w:p>
        </w:tc>
      </w:tr>
      <w:tr w:rsidR="001D1D53" w:rsidRPr="001D1D53" w:rsidTr="001D1D53">
        <w:trPr>
          <w:trHeight w:val="375"/>
        </w:trPr>
        <w:tc>
          <w:tcPr>
            <w:tcW w:w="3539" w:type="dxa"/>
            <w:tcBorders>
              <w:top w:val="nil"/>
              <w:left w:val="nil"/>
              <w:bottom w:val="nil"/>
              <w:right w:val="nil"/>
            </w:tcBorders>
            <w:shd w:val="clear" w:color="000000" w:fill="FFFFFF"/>
            <w:vAlign w:val="bottom"/>
          </w:tcPr>
          <w:p w:rsidR="001D1D53" w:rsidRPr="001D1D53" w:rsidRDefault="001D1D53" w:rsidP="001D1D53">
            <w:pPr>
              <w:spacing w:after="0"/>
              <w:rPr>
                <w:rFonts w:ascii="Times New Roman" w:hAnsi="Times New Roman"/>
                <w:b/>
                <w:bCs/>
                <w:sz w:val="24"/>
                <w:szCs w:val="24"/>
              </w:rPr>
            </w:pPr>
            <w:r w:rsidRPr="001D1D53">
              <w:rPr>
                <w:rFonts w:ascii="Times New Roman" w:hAnsi="Times New Roman"/>
                <w:b/>
                <w:bCs/>
                <w:sz w:val="24"/>
                <w:szCs w:val="24"/>
              </w:rPr>
              <w:t>Total Liabilities</w:t>
            </w:r>
          </w:p>
        </w:tc>
        <w:tc>
          <w:tcPr>
            <w:tcW w:w="485" w:type="dxa"/>
            <w:tcBorders>
              <w:top w:val="nil"/>
              <w:left w:val="nil"/>
              <w:bottom w:val="nil"/>
              <w:right w:val="nil"/>
            </w:tcBorders>
            <w:shd w:val="clear" w:color="000000" w:fill="FFFFFF"/>
            <w:vAlign w:val="bottom"/>
          </w:tcPr>
          <w:p w:rsidR="001D1D53" w:rsidRPr="001D1D53" w:rsidRDefault="001D1D53" w:rsidP="001D1D53">
            <w:pPr>
              <w:spacing w:after="0"/>
              <w:rPr>
                <w:rFonts w:ascii="Times New Roman" w:hAnsi="Times New Roman"/>
                <w:b/>
                <w:bCs/>
                <w:sz w:val="24"/>
                <w:szCs w:val="24"/>
              </w:rPr>
            </w:pPr>
            <w:r w:rsidRPr="001D1D53">
              <w:rPr>
                <w:rFonts w:ascii="Times New Roman" w:hAnsi="Times New Roman"/>
                <w:b/>
                <w:bCs/>
                <w:sz w:val="24"/>
                <w:szCs w:val="24"/>
              </w:rPr>
              <w:t> </w:t>
            </w:r>
          </w:p>
        </w:tc>
        <w:tc>
          <w:tcPr>
            <w:tcW w:w="2007" w:type="dxa"/>
            <w:tcBorders>
              <w:top w:val="nil"/>
              <w:left w:val="nil"/>
              <w:bottom w:val="nil"/>
              <w:right w:val="nil"/>
            </w:tcBorders>
            <w:shd w:val="clear" w:color="auto" w:fill="auto"/>
            <w:noWrap/>
            <w:vAlign w:val="bottom"/>
          </w:tcPr>
          <w:p w:rsidR="001D1D53" w:rsidRPr="001D1D53" w:rsidRDefault="001D1D53" w:rsidP="001D1D53">
            <w:pPr>
              <w:spacing w:after="0"/>
              <w:jc w:val="right"/>
              <w:rPr>
                <w:rFonts w:ascii="Times New Roman" w:hAnsi="Times New Roman"/>
                <w:b/>
                <w:bCs/>
                <w:sz w:val="24"/>
                <w:szCs w:val="24"/>
              </w:rPr>
            </w:pPr>
            <w:r w:rsidRPr="001D1D53">
              <w:rPr>
                <w:rFonts w:ascii="Times New Roman" w:hAnsi="Times New Roman"/>
                <w:b/>
                <w:bCs/>
                <w:sz w:val="24"/>
                <w:szCs w:val="24"/>
              </w:rPr>
              <w:t xml:space="preserve">$8,250.83 </w:t>
            </w:r>
          </w:p>
        </w:tc>
      </w:tr>
      <w:tr w:rsidR="001D1D53" w:rsidRPr="00EF1B36" w:rsidTr="001D1D53">
        <w:trPr>
          <w:trHeight w:val="375"/>
        </w:trPr>
        <w:tc>
          <w:tcPr>
            <w:tcW w:w="3539" w:type="dxa"/>
            <w:tcBorders>
              <w:top w:val="nil"/>
              <w:left w:val="nil"/>
              <w:bottom w:val="nil"/>
              <w:right w:val="nil"/>
            </w:tcBorders>
            <w:shd w:val="clear" w:color="000000" w:fill="FFFFFF"/>
            <w:vAlign w:val="bottom"/>
          </w:tcPr>
          <w:p w:rsidR="001D1D53" w:rsidRPr="001D1D53" w:rsidRDefault="001D1D53" w:rsidP="001D1D53">
            <w:pPr>
              <w:spacing w:after="0"/>
              <w:rPr>
                <w:rFonts w:ascii="Times New Roman" w:hAnsi="Times New Roman"/>
                <w:szCs w:val="22"/>
              </w:rPr>
            </w:pPr>
            <w:r w:rsidRPr="001D1D53">
              <w:rPr>
                <w:rFonts w:ascii="Times New Roman" w:hAnsi="Times New Roman"/>
                <w:szCs w:val="22"/>
              </w:rPr>
              <w:t> </w:t>
            </w:r>
          </w:p>
        </w:tc>
        <w:tc>
          <w:tcPr>
            <w:tcW w:w="485" w:type="dxa"/>
            <w:tcBorders>
              <w:top w:val="nil"/>
              <w:left w:val="nil"/>
              <w:bottom w:val="nil"/>
              <w:right w:val="nil"/>
            </w:tcBorders>
            <w:shd w:val="clear" w:color="000000" w:fill="FFFFFF"/>
            <w:vAlign w:val="bottom"/>
          </w:tcPr>
          <w:p w:rsidR="001D1D53" w:rsidRPr="001D1D53" w:rsidRDefault="001D1D53" w:rsidP="001D1D53">
            <w:pPr>
              <w:spacing w:after="0"/>
              <w:rPr>
                <w:rFonts w:ascii="Times New Roman" w:hAnsi="Times New Roman"/>
                <w:szCs w:val="22"/>
              </w:rPr>
            </w:pPr>
            <w:r w:rsidRPr="001D1D53">
              <w:rPr>
                <w:rFonts w:ascii="Times New Roman" w:hAnsi="Times New Roman"/>
                <w:szCs w:val="22"/>
              </w:rPr>
              <w:t> </w:t>
            </w:r>
          </w:p>
        </w:tc>
        <w:tc>
          <w:tcPr>
            <w:tcW w:w="2007" w:type="dxa"/>
            <w:tcBorders>
              <w:top w:val="nil"/>
              <w:left w:val="nil"/>
              <w:bottom w:val="nil"/>
              <w:right w:val="nil"/>
            </w:tcBorders>
            <w:shd w:val="clear" w:color="auto" w:fill="auto"/>
            <w:noWrap/>
            <w:vAlign w:val="bottom"/>
          </w:tcPr>
          <w:p w:rsidR="001D1D53" w:rsidRPr="001D1D53" w:rsidRDefault="001D1D53" w:rsidP="001D1D53">
            <w:pPr>
              <w:spacing w:after="0"/>
              <w:jc w:val="right"/>
              <w:rPr>
                <w:rFonts w:ascii="Times New Roman" w:hAnsi="Times New Roman"/>
                <w:b/>
                <w:bCs/>
                <w:szCs w:val="22"/>
              </w:rPr>
            </w:pPr>
          </w:p>
        </w:tc>
      </w:tr>
      <w:tr w:rsidR="001D1D53" w:rsidRPr="001D1D53" w:rsidTr="001D1D53">
        <w:trPr>
          <w:trHeight w:val="375"/>
        </w:trPr>
        <w:tc>
          <w:tcPr>
            <w:tcW w:w="3539" w:type="dxa"/>
            <w:tcBorders>
              <w:top w:val="nil"/>
              <w:left w:val="nil"/>
              <w:bottom w:val="nil"/>
              <w:right w:val="nil"/>
            </w:tcBorders>
            <w:shd w:val="clear" w:color="000000" w:fill="FFFFFF"/>
            <w:vAlign w:val="bottom"/>
          </w:tcPr>
          <w:p w:rsidR="001D1D53" w:rsidRPr="001D1D53" w:rsidRDefault="001D1D53" w:rsidP="001D1D53">
            <w:pPr>
              <w:spacing w:after="0"/>
              <w:rPr>
                <w:rFonts w:ascii="Times New Roman" w:hAnsi="Times New Roman"/>
                <w:b/>
                <w:bCs/>
                <w:sz w:val="24"/>
                <w:szCs w:val="24"/>
              </w:rPr>
            </w:pPr>
            <w:r w:rsidRPr="001D1D53">
              <w:rPr>
                <w:rFonts w:ascii="Times New Roman" w:hAnsi="Times New Roman"/>
                <w:b/>
                <w:bCs/>
                <w:sz w:val="24"/>
                <w:szCs w:val="24"/>
              </w:rPr>
              <w:t>Net Assets</w:t>
            </w:r>
          </w:p>
        </w:tc>
        <w:tc>
          <w:tcPr>
            <w:tcW w:w="485" w:type="dxa"/>
            <w:tcBorders>
              <w:top w:val="nil"/>
              <w:left w:val="nil"/>
              <w:bottom w:val="nil"/>
              <w:right w:val="nil"/>
            </w:tcBorders>
            <w:shd w:val="clear" w:color="000000" w:fill="FFFFFF"/>
            <w:vAlign w:val="bottom"/>
          </w:tcPr>
          <w:p w:rsidR="001D1D53" w:rsidRPr="001D1D53" w:rsidRDefault="001D1D53" w:rsidP="001D1D53">
            <w:pPr>
              <w:spacing w:after="0"/>
              <w:rPr>
                <w:rFonts w:ascii="Times New Roman" w:hAnsi="Times New Roman"/>
                <w:b/>
                <w:bCs/>
                <w:sz w:val="24"/>
                <w:szCs w:val="24"/>
              </w:rPr>
            </w:pPr>
            <w:r w:rsidRPr="001D1D53">
              <w:rPr>
                <w:rFonts w:ascii="Times New Roman" w:hAnsi="Times New Roman"/>
                <w:b/>
                <w:bCs/>
                <w:sz w:val="24"/>
                <w:szCs w:val="24"/>
              </w:rPr>
              <w:t> </w:t>
            </w:r>
          </w:p>
        </w:tc>
        <w:tc>
          <w:tcPr>
            <w:tcW w:w="2007" w:type="dxa"/>
            <w:tcBorders>
              <w:top w:val="nil"/>
              <w:left w:val="nil"/>
              <w:bottom w:val="nil"/>
              <w:right w:val="nil"/>
            </w:tcBorders>
            <w:shd w:val="clear" w:color="auto" w:fill="auto"/>
            <w:noWrap/>
            <w:vAlign w:val="bottom"/>
          </w:tcPr>
          <w:p w:rsidR="001D1D53" w:rsidRPr="001D1D53" w:rsidRDefault="001D1D53" w:rsidP="001D1D53">
            <w:pPr>
              <w:spacing w:after="0"/>
              <w:jc w:val="right"/>
              <w:rPr>
                <w:rFonts w:ascii="Times New Roman" w:hAnsi="Times New Roman"/>
                <w:b/>
                <w:bCs/>
                <w:sz w:val="24"/>
                <w:szCs w:val="24"/>
              </w:rPr>
            </w:pPr>
            <w:r w:rsidRPr="001D1D53">
              <w:rPr>
                <w:rFonts w:ascii="Times New Roman" w:hAnsi="Times New Roman"/>
                <w:b/>
                <w:bCs/>
                <w:sz w:val="24"/>
                <w:szCs w:val="24"/>
              </w:rPr>
              <w:t>$2,440,854.55</w:t>
            </w:r>
          </w:p>
        </w:tc>
      </w:tr>
    </w:tbl>
    <w:p w:rsidR="003C2854" w:rsidRDefault="003C2854" w:rsidP="0043489B">
      <w:pPr>
        <w:spacing w:after="0"/>
        <w:ind w:left="1440"/>
      </w:pPr>
    </w:p>
    <w:p w:rsidR="0043489B" w:rsidRDefault="0043489B" w:rsidP="0043489B">
      <w:pPr>
        <w:spacing w:after="0"/>
        <w:ind w:left="1440"/>
      </w:pPr>
      <w:r>
        <w:t>Notes:</w:t>
      </w:r>
    </w:p>
    <w:p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(1) The bank accounts earn interest on the balances</w:t>
      </w:r>
    </w:p>
    <w:p w:rsidR="0043489B" w:rsidRDefault="0043489B" w:rsidP="0043489B">
      <w:pPr>
        <w:ind w:left="1440"/>
        <w:jc w:val="left"/>
        <w:rPr>
          <w:rFonts w:ascii="Times New Roman" w:hAnsi="Times New Roman"/>
          <w:lang w:eastAsia="en-AU"/>
        </w:rPr>
      </w:pPr>
      <w:r w:rsidRPr="00EF1B36">
        <w:rPr>
          <w:rFonts w:ascii="Times New Roman" w:hAnsi="Times New Roman"/>
          <w:lang w:eastAsia="en-AU"/>
        </w:rPr>
        <w:t xml:space="preserve">(2) All term deposits mature within 12 months. </w:t>
      </w:r>
    </w:p>
    <w:p w:rsidR="001D1D53" w:rsidRPr="00EF1B36" w:rsidRDefault="001D1D53" w:rsidP="0043489B">
      <w:pPr>
        <w:ind w:left="1440"/>
        <w:jc w:val="left"/>
        <w:rPr>
          <w:rFonts w:ascii="Times New Roman" w:hAnsi="Times New Roman"/>
          <w:lang w:eastAsia="en-AU"/>
        </w:rPr>
      </w:pPr>
      <w:r>
        <w:rPr>
          <w:rFonts w:ascii="Times New Roman" w:hAnsi="Times New Roman"/>
          <w:lang w:eastAsia="en-AU"/>
        </w:rPr>
        <w:t xml:space="preserve">(3) </w:t>
      </w:r>
      <w:r w:rsidRPr="001D1D53">
        <w:rPr>
          <w:rFonts w:ascii="Times New Roman" w:hAnsi="Times New Roman"/>
          <w:lang w:eastAsia="en-AU"/>
        </w:rPr>
        <w:t>Kangaroo Valley shares are at the agreed valuation at September 2020</w:t>
      </w:r>
      <w:r>
        <w:rPr>
          <w:rFonts w:ascii="Times New Roman" w:hAnsi="Times New Roman"/>
          <w:lang w:eastAsia="en-AU"/>
        </w:rPr>
        <w:t>.</w:t>
      </w:r>
    </w:p>
    <w:p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w:t>
      </w:r>
      <w:r w:rsidR="001D1D53">
        <w:rPr>
          <w:rFonts w:ascii="Times New Roman" w:hAnsi="Times New Roman"/>
          <w:lang w:eastAsia="en-AU"/>
        </w:rPr>
        <w:t>4</w:t>
      </w:r>
      <w:r w:rsidRPr="00EF1B36">
        <w:rPr>
          <w:rFonts w:ascii="Times New Roman" w:hAnsi="Times New Roman"/>
          <w:lang w:eastAsia="en-AU"/>
        </w:rPr>
        <w:t>) Australian Ethical Investments are in their "Balanced" and "Small companies" trusts</w:t>
      </w:r>
      <w:r w:rsidR="001D1D53">
        <w:rPr>
          <w:rFonts w:ascii="Times New Roman" w:hAnsi="Times New Roman"/>
          <w:lang w:eastAsia="en-AU"/>
        </w:rPr>
        <w:t>.</w:t>
      </w:r>
    </w:p>
    <w:p w:rsidR="0043489B" w:rsidRPr="00EF1B36" w:rsidRDefault="001D1D53" w:rsidP="0043489B">
      <w:pPr>
        <w:ind w:left="1440"/>
        <w:jc w:val="left"/>
        <w:rPr>
          <w:rFonts w:ascii="Times New Roman" w:hAnsi="Times New Roman"/>
          <w:lang w:eastAsia="en-AU"/>
        </w:rPr>
      </w:pPr>
      <w:r>
        <w:rPr>
          <w:rFonts w:ascii="Times New Roman" w:hAnsi="Times New Roman"/>
          <w:lang w:eastAsia="en-AU"/>
        </w:rPr>
        <w:t>(5</w:t>
      </w:r>
      <w:r w:rsidR="0043489B" w:rsidRPr="00EF1B36">
        <w:rPr>
          <w:rFonts w:ascii="Times New Roman" w:hAnsi="Times New Roman"/>
          <w:lang w:eastAsia="en-AU"/>
        </w:rPr>
        <w:t xml:space="preserve">) </w:t>
      </w:r>
      <w:r w:rsidR="007C7CB7">
        <w:rPr>
          <w:rFonts w:ascii="Times New Roman" w:hAnsi="Times New Roman"/>
          <w:lang w:eastAsia="en-AU"/>
        </w:rPr>
        <w:t>Praemium is a</w:t>
      </w:r>
      <w:r w:rsidR="0043489B" w:rsidRPr="00EF1B36">
        <w:rPr>
          <w:rFonts w:ascii="Times New Roman" w:hAnsi="Times New Roman"/>
          <w:lang w:eastAsia="en-AU"/>
        </w:rPr>
        <w:t xml:space="preserve"> portfolio of ordinary shares in ethical companies.</w:t>
      </w:r>
    </w:p>
    <w:p w:rsidR="0043489B" w:rsidRPr="00EF1B36" w:rsidRDefault="001D1D53" w:rsidP="0043489B">
      <w:pPr>
        <w:ind w:left="1440"/>
        <w:jc w:val="left"/>
        <w:rPr>
          <w:rFonts w:ascii="Times New Roman" w:hAnsi="Times New Roman"/>
          <w:lang w:eastAsia="en-AU"/>
        </w:rPr>
      </w:pPr>
      <w:r>
        <w:rPr>
          <w:rFonts w:ascii="Times New Roman" w:hAnsi="Times New Roman"/>
          <w:lang w:eastAsia="en-AU"/>
        </w:rPr>
        <w:t>(6</w:t>
      </w:r>
      <w:r w:rsidR="0043489B" w:rsidRPr="00EF1B36">
        <w:rPr>
          <w:rFonts w:ascii="Times New Roman" w:hAnsi="Times New Roman"/>
          <w:lang w:eastAsia="en-AU"/>
        </w:rPr>
        <w:t>) A portfolio of preference shares in ethical companies.</w:t>
      </w:r>
    </w:p>
    <w:p w:rsidR="0043489B" w:rsidRDefault="001D1D53" w:rsidP="0043489B">
      <w:pPr>
        <w:ind w:left="1440"/>
        <w:jc w:val="left"/>
        <w:rPr>
          <w:rFonts w:ascii="Times New Roman" w:hAnsi="Times New Roman"/>
          <w:lang w:eastAsia="en-AU"/>
        </w:rPr>
      </w:pPr>
      <w:r>
        <w:rPr>
          <w:rFonts w:ascii="Times New Roman" w:hAnsi="Times New Roman"/>
          <w:lang w:eastAsia="en-AU"/>
        </w:rPr>
        <w:t>(4</w:t>
      </w:r>
      <w:r w:rsidR="0043489B" w:rsidRPr="00EF1B36">
        <w:rPr>
          <w:rFonts w:ascii="Times New Roman" w:hAnsi="Times New Roman"/>
          <w:lang w:eastAsia="en-AU"/>
        </w:rPr>
        <w:t>) to (</w:t>
      </w:r>
      <w:r>
        <w:rPr>
          <w:rFonts w:ascii="Times New Roman" w:hAnsi="Times New Roman"/>
          <w:lang w:eastAsia="en-AU"/>
        </w:rPr>
        <w:t>6</w:t>
      </w:r>
      <w:r w:rsidR="0043489B" w:rsidRPr="00EF1B36">
        <w:rPr>
          <w:rFonts w:ascii="Times New Roman" w:hAnsi="Times New Roman"/>
          <w:lang w:eastAsia="en-AU"/>
        </w:rPr>
        <w:t>) are at market value at 30 September 20</w:t>
      </w:r>
      <w:r>
        <w:rPr>
          <w:rFonts w:ascii="Times New Roman" w:hAnsi="Times New Roman"/>
          <w:lang w:eastAsia="en-AU"/>
        </w:rPr>
        <w:t>20</w:t>
      </w:r>
      <w:r w:rsidR="0043489B">
        <w:rPr>
          <w:rFonts w:ascii="Times New Roman" w:hAnsi="Times New Roman"/>
          <w:lang w:eastAsia="en-AU"/>
        </w:rPr>
        <w:t>.</w:t>
      </w:r>
    </w:p>
    <w:p w:rsidR="00A839A0" w:rsidRDefault="00A839A0" w:rsidP="009F652C">
      <w:pPr>
        <w:spacing w:after="0"/>
        <w:jc w:val="left"/>
        <w:rPr>
          <w:rFonts w:cs="Arial"/>
          <w:sz w:val="20"/>
        </w:rPr>
      </w:pPr>
    </w:p>
    <w:sectPr w:rsidR="00A839A0" w:rsidSect="00AD7837">
      <w:pgSz w:w="11907" w:h="16840" w:code="9"/>
      <w:pgMar w:top="851" w:right="1134" w:bottom="1135" w:left="1134" w:header="17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2BE"/>
    <w:multiLevelType w:val="hybridMultilevel"/>
    <w:tmpl w:val="71B4875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15AB6C03"/>
    <w:multiLevelType w:val="multilevel"/>
    <w:tmpl w:val="E3EA4CE8"/>
    <w:lvl w:ilvl="0">
      <w:start w:val="1"/>
      <w:numFmt w:val="decimal"/>
      <w:lvlText w:val="%1."/>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
    <w:nsid w:val="3E1D2B4B"/>
    <w:multiLevelType w:val="hybridMultilevel"/>
    <w:tmpl w:val="B4FA4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817585"/>
    <w:multiLevelType w:val="hybridMultilevel"/>
    <w:tmpl w:val="7EC254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C312E67"/>
    <w:multiLevelType w:val="hybridMultilevel"/>
    <w:tmpl w:val="E046683A"/>
    <w:lvl w:ilvl="0" w:tplc="653893AC">
      <w:start w:val="1"/>
      <w:numFmt w:val="lowerLetter"/>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1F915BA"/>
    <w:multiLevelType w:val="hybridMultilevel"/>
    <w:tmpl w:val="6BE6C68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59277C1F"/>
    <w:multiLevelType w:val="hybridMultilevel"/>
    <w:tmpl w:val="7C30DE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DF41CAE"/>
    <w:multiLevelType w:val="hybridMultilevel"/>
    <w:tmpl w:val="EFC0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A04ED5"/>
    <w:multiLevelType w:val="singleLevel"/>
    <w:tmpl w:val="A3821CD0"/>
    <w:lvl w:ilvl="0">
      <w:start w:val="1"/>
      <w:numFmt w:val="decimal"/>
      <w:pStyle w:val="Orchidnumber"/>
      <w:lvlText w:val="%1"/>
      <w:lvlJc w:val="left"/>
      <w:pPr>
        <w:tabs>
          <w:tab w:val="num" w:pos="360"/>
        </w:tabs>
        <w:ind w:left="0" w:firstLine="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BCC0C64"/>
    <w:multiLevelType w:val="hybridMultilevel"/>
    <w:tmpl w:val="D95EA60C"/>
    <w:lvl w:ilvl="0" w:tplc="B658ECE8">
      <w:start w:val="1"/>
      <w:numFmt w:val="decimal"/>
      <w:lvlText w:val="%1."/>
      <w:lvlJc w:val="left"/>
      <w:pPr>
        <w:tabs>
          <w:tab w:val="num" w:pos="720"/>
        </w:tabs>
        <w:ind w:left="720" w:hanging="360"/>
      </w:pPr>
      <w:rPr>
        <w:rFonts w:ascii="Arial" w:hAnsi="Arial"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4"/>
  </w:num>
  <w:num w:numId="5">
    <w:abstractNumId w:val="6"/>
  </w:num>
  <w:num w:numId="6">
    <w:abstractNumId w:val="7"/>
  </w:num>
  <w:num w:numId="7">
    <w:abstractNumId w:val="2"/>
  </w:num>
  <w:num w:numId="8">
    <w:abstractNumId w:val="0"/>
  </w:num>
  <w:num w:numId="9">
    <w:abstractNumId w:val="5"/>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B6"/>
    <w:rsid w:val="000008B3"/>
    <w:rsid w:val="00010849"/>
    <w:rsid w:val="00011B98"/>
    <w:rsid w:val="00013406"/>
    <w:rsid w:val="00014D6D"/>
    <w:rsid w:val="00015B6D"/>
    <w:rsid w:val="00022176"/>
    <w:rsid w:val="000341D1"/>
    <w:rsid w:val="00065DFD"/>
    <w:rsid w:val="00073020"/>
    <w:rsid w:val="00075AB7"/>
    <w:rsid w:val="000771AB"/>
    <w:rsid w:val="0009163B"/>
    <w:rsid w:val="000A7037"/>
    <w:rsid w:val="000C6507"/>
    <w:rsid w:val="000E01A2"/>
    <w:rsid w:val="000E203F"/>
    <w:rsid w:val="000E38CB"/>
    <w:rsid w:val="000E7967"/>
    <w:rsid w:val="000F2504"/>
    <w:rsid w:val="00111B7F"/>
    <w:rsid w:val="001239F4"/>
    <w:rsid w:val="00124BC2"/>
    <w:rsid w:val="001317D0"/>
    <w:rsid w:val="001350E6"/>
    <w:rsid w:val="00142E29"/>
    <w:rsid w:val="00147740"/>
    <w:rsid w:val="0015031D"/>
    <w:rsid w:val="00150902"/>
    <w:rsid w:val="0015643C"/>
    <w:rsid w:val="001564C5"/>
    <w:rsid w:val="0015775A"/>
    <w:rsid w:val="00162213"/>
    <w:rsid w:val="00167DC8"/>
    <w:rsid w:val="001756D9"/>
    <w:rsid w:val="00184DAD"/>
    <w:rsid w:val="00194DB6"/>
    <w:rsid w:val="001A4D0D"/>
    <w:rsid w:val="001A613F"/>
    <w:rsid w:val="001B388A"/>
    <w:rsid w:val="001B57B6"/>
    <w:rsid w:val="001B5F39"/>
    <w:rsid w:val="001C3B26"/>
    <w:rsid w:val="001C559A"/>
    <w:rsid w:val="001D1D53"/>
    <w:rsid w:val="001D71D7"/>
    <w:rsid w:val="001E0FD7"/>
    <w:rsid w:val="002034BF"/>
    <w:rsid w:val="002057A9"/>
    <w:rsid w:val="002128A5"/>
    <w:rsid w:val="0021450F"/>
    <w:rsid w:val="00221893"/>
    <w:rsid w:val="002322E2"/>
    <w:rsid w:val="00233279"/>
    <w:rsid w:val="00253A95"/>
    <w:rsid w:val="00262485"/>
    <w:rsid w:val="00263AF9"/>
    <w:rsid w:val="00264D99"/>
    <w:rsid w:val="00274929"/>
    <w:rsid w:val="002768E1"/>
    <w:rsid w:val="00277170"/>
    <w:rsid w:val="002A1917"/>
    <w:rsid w:val="002A5D35"/>
    <w:rsid w:val="002A7033"/>
    <w:rsid w:val="002B525F"/>
    <w:rsid w:val="002D24FA"/>
    <w:rsid w:val="002D497C"/>
    <w:rsid w:val="002D7788"/>
    <w:rsid w:val="002E0B2D"/>
    <w:rsid w:val="002E562A"/>
    <w:rsid w:val="002F309F"/>
    <w:rsid w:val="00307A4D"/>
    <w:rsid w:val="0031105D"/>
    <w:rsid w:val="003112CF"/>
    <w:rsid w:val="00313323"/>
    <w:rsid w:val="00316B33"/>
    <w:rsid w:val="00320C77"/>
    <w:rsid w:val="003212AF"/>
    <w:rsid w:val="0032318B"/>
    <w:rsid w:val="0032559E"/>
    <w:rsid w:val="00330AEF"/>
    <w:rsid w:val="00332F14"/>
    <w:rsid w:val="00335493"/>
    <w:rsid w:val="003376EA"/>
    <w:rsid w:val="003377CD"/>
    <w:rsid w:val="00351444"/>
    <w:rsid w:val="00351995"/>
    <w:rsid w:val="003649DB"/>
    <w:rsid w:val="00366609"/>
    <w:rsid w:val="003706BF"/>
    <w:rsid w:val="00373D3B"/>
    <w:rsid w:val="0038679F"/>
    <w:rsid w:val="00394A1C"/>
    <w:rsid w:val="003A4396"/>
    <w:rsid w:val="003A49A6"/>
    <w:rsid w:val="003A5735"/>
    <w:rsid w:val="003B2F44"/>
    <w:rsid w:val="003C2122"/>
    <w:rsid w:val="003C2854"/>
    <w:rsid w:val="003C3B63"/>
    <w:rsid w:val="003D6CB0"/>
    <w:rsid w:val="003E1AF1"/>
    <w:rsid w:val="003E29D6"/>
    <w:rsid w:val="0040196A"/>
    <w:rsid w:val="00403C0E"/>
    <w:rsid w:val="004100DD"/>
    <w:rsid w:val="00412DDA"/>
    <w:rsid w:val="00415227"/>
    <w:rsid w:val="00415D3F"/>
    <w:rsid w:val="00426BCC"/>
    <w:rsid w:val="004276E0"/>
    <w:rsid w:val="00433753"/>
    <w:rsid w:val="0043489B"/>
    <w:rsid w:val="004357F8"/>
    <w:rsid w:val="004363AC"/>
    <w:rsid w:val="004614B6"/>
    <w:rsid w:val="00477E45"/>
    <w:rsid w:val="004852AC"/>
    <w:rsid w:val="00486A5B"/>
    <w:rsid w:val="00492CBD"/>
    <w:rsid w:val="004941C0"/>
    <w:rsid w:val="004963AA"/>
    <w:rsid w:val="00496736"/>
    <w:rsid w:val="00496AFC"/>
    <w:rsid w:val="004A01B6"/>
    <w:rsid w:val="004A02C2"/>
    <w:rsid w:val="004B06FD"/>
    <w:rsid w:val="004B0816"/>
    <w:rsid w:val="004B2B7D"/>
    <w:rsid w:val="004B4F8B"/>
    <w:rsid w:val="004E3C27"/>
    <w:rsid w:val="004F3F0D"/>
    <w:rsid w:val="004F5DC4"/>
    <w:rsid w:val="00503AF8"/>
    <w:rsid w:val="00503E75"/>
    <w:rsid w:val="0052100A"/>
    <w:rsid w:val="00523964"/>
    <w:rsid w:val="00547475"/>
    <w:rsid w:val="00547F1E"/>
    <w:rsid w:val="00550EFF"/>
    <w:rsid w:val="00553619"/>
    <w:rsid w:val="00554F3E"/>
    <w:rsid w:val="00556C42"/>
    <w:rsid w:val="00560548"/>
    <w:rsid w:val="00573469"/>
    <w:rsid w:val="005737F5"/>
    <w:rsid w:val="00583041"/>
    <w:rsid w:val="00591F5D"/>
    <w:rsid w:val="005A3CD4"/>
    <w:rsid w:val="005C0099"/>
    <w:rsid w:val="005D0743"/>
    <w:rsid w:val="005E4A47"/>
    <w:rsid w:val="005E5BEA"/>
    <w:rsid w:val="005F2D9B"/>
    <w:rsid w:val="006167F9"/>
    <w:rsid w:val="006211FD"/>
    <w:rsid w:val="00622D87"/>
    <w:rsid w:val="00631676"/>
    <w:rsid w:val="006436B0"/>
    <w:rsid w:val="00643DA5"/>
    <w:rsid w:val="0065002C"/>
    <w:rsid w:val="00655246"/>
    <w:rsid w:val="00660D66"/>
    <w:rsid w:val="006A1D9F"/>
    <w:rsid w:val="006A2767"/>
    <w:rsid w:val="006A3298"/>
    <w:rsid w:val="006A35B4"/>
    <w:rsid w:val="006A4FEE"/>
    <w:rsid w:val="006A6CE8"/>
    <w:rsid w:val="006B4596"/>
    <w:rsid w:val="006B5E4C"/>
    <w:rsid w:val="006C028B"/>
    <w:rsid w:val="006C192F"/>
    <w:rsid w:val="006C1ABF"/>
    <w:rsid w:val="006C6E70"/>
    <w:rsid w:val="006D096C"/>
    <w:rsid w:val="006D2AFF"/>
    <w:rsid w:val="006D7659"/>
    <w:rsid w:val="006E075A"/>
    <w:rsid w:val="006F069E"/>
    <w:rsid w:val="007001E5"/>
    <w:rsid w:val="00712C0B"/>
    <w:rsid w:val="00715EBE"/>
    <w:rsid w:val="00717DDA"/>
    <w:rsid w:val="00720818"/>
    <w:rsid w:val="00720CAA"/>
    <w:rsid w:val="0072378C"/>
    <w:rsid w:val="00733398"/>
    <w:rsid w:val="007359FD"/>
    <w:rsid w:val="00747214"/>
    <w:rsid w:val="007477F3"/>
    <w:rsid w:val="007527ED"/>
    <w:rsid w:val="00766E5E"/>
    <w:rsid w:val="00771B57"/>
    <w:rsid w:val="00772882"/>
    <w:rsid w:val="00773ECD"/>
    <w:rsid w:val="0077674F"/>
    <w:rsid w:val="00787677"/>
    <w:rsid w:val="00791DF5"/>
    <w:rsid w:val="0079398D"/>
    <w:rsid w:val="007A7E50"/>
    <w:rsid w:val="007B123F"/>
    <w:rsid w:val="007B79B5"/>
    <w:rsid w:val="007C7CB7"/>
    <w:rsid w:val="007F6A63"/>
    <w:rsid w:val="007F797A"/>
    <w:rsid w:val="008053BB"/>
    <w:rsid w:val="00823E2E"/>
    <w:rsid w:val="008269A3"/>
    <w:rsid w:val="00827D7D"/>
    <w:rsid w:val="00844DFA"/>
    <w:rsid w:val="008523F0"/>
    <w:rsid w:val="008550E7"/>
    <w:rsid w:val="008611FC"/>
    <w:rsid w:val="00863DAC"/>
    <w:rsid w:val="00865A9F"/>
    <w:rsid w:val="00870131"/>
    <w:rsid w:val="00872187"/>
    <w:rsid w:val="00881B6E"/>
    <w:rsid w:val="00891F43"/>
    <w:rsid w:val="00893416"/>
    <w:rsid w:val="00893D7A"/>
    <w:rsid w:val="008C08F6"/>
    <w:rsid w:val="008C0EAE"/>
    <w:rsid w:val="008C7ADA"/>
    <w:rsid w:val="008F0018"/>
    <w:rsid w:val="008F02C6"/>
    <w:rsid w:val="008F6A88"/>
    <w:rsid w:val="008F743C"/>
    <w:rsid w:val="0090301F"/>
    <w:rsid w:val="00911027"/>
    <w:rsid w:val="0091559C"/>
    <w:rsid w:val="00916D0C"/>
    <w:rsid w:val="00916EA3"/>
    <w:rsid w:val="0093020F"/>
    <w:rsid w:val="00940F84"/>
    <w:rsid w:val="00947A25"/>
    <w:rsid w:val="00947F76"/>
    <w:rsid w:val="00956110"/>
    <w:rsid w:val="0096718E"/>
    <w:rsid w:val="00971E8E"/>
    <w:rsid w:val="00974DB2"/>
    <w:rsid w:val="00981290"/>
    <w:rsid w:val="00986666"/>
    <w:rsid w:val="00987094"/>
    <w:rsid w:val="00987CD5"/>
    <w:rsid w:val="009A0B5C"/>
    <w:rsid w:val="009A7F60"/>
    <w:rsid w:val="009B639A"/>
    <w:rsid w:val="009B6D0E"/>
    <w:rsid w:val="009C1C86"/>
    <w:rsid w:val="009C316A"/>
    <w:rsid w:val="009C56F9"/>
    <w:rsid w:val="009D06B1"/>
    <w:rsid w:val="009D5570"/>
    <w:rsid w:val="009E33FF"/>
    <w:rsid w:val="009F141E"/>
    <w:rsid w:val="009F2E98"/>
    <w:rsid w:val="009F652C"/>
    <w:rsid w:val="009F659B"/>
    <w:rsid w:val="009F7B1F"/>
    <w:rsid w:val="00A02FAA"/>
    <w:rsid w:val="00A03CE0"/>
    <w:rsid w:val="00A06865"/>
    <w:rsid w:val="00A11584"/>
    <w:rsid w:val="00A12DD8"/>
    <w:rsid w:val="00A15C80"/>
    <w:rsid w:val="00A15F6A"/>
    <w:rsid w:val="00A8037D"/>
    <w:rsid w:val="00A839A0"/>
    <w:rsid w:val="00A94F42"/>
    <w:rsid w:val="00A95663"/>
    <w:rsid w:val="00A976DE"/>
    <w:rsid w:val="00AD7837"/>
    <w:rsid w:val="00AE5CA7"/>
    <w:rsid w:val="00AF3F15"/>
    <w:rsid w:val="00AF7FA3"/>
    <w:rsid w:val="00B01A5E"/>
    <w:rsid w:val="00B03E05"/>
    <w:rsid w:val="00B076F7"/>
    <w:rsid w:val="00B11675"/>
    <w:rsid w:val="00B135BB"/>
    <w:rsid w:val="00B13EEB"/>
    <w:rsid w:val="00B21606"/>
    <w:rsid w:val="00B238ED"/>
    <w:rsid w:val="00B352F9"/>
    <w:rsid w:val="00B37448"/>
    <w:rsid w:val="00B44861"/>
    <w:rsid w:val="00B50BA8"/>
    <w:rsid w:val="00B553A6"/>
    <w:rsid w:val="00B6150B"/>
    <w:rsid w:val="00B6731E"/>
    <w:rsid w:val="00B67B19"/>
    <w:rsid w:val="00B7430B"/>
    <w:rsid w:val="00B80B2B"/>
    <w:rsid w:val="00B92A0A"/>
    <w:rsid w:val="00B93258"/>
    <w:rsid w:val="00BA089F"/>
    <w:rsid w:val="00BB3CFD"/>
    <w:rsid w:val="00BD0415"/>
    <w:rsid w:val="00BD5BB8"/>
    <w:rsid w:val="00BD64AF"/>
    <w:rsid w:val="00BD7EDA"/>
    <w:rsid w:val="00BE10CF"/>
    <w:rsid w:val="00BE4AAF"/>
    <w:rsid w:val="00BE65C6"/>
    <w:rsid w:val="00BF00A0"/>
    <w:rsid w:val="00BF05E9"/>
    <w:rsid w:val="00BF5425"/>
    <w:rsid w:val="00C02DDE"/>
    <w:rsid w:val="00C16FCC"/>
    <w:rsid w:val="00C364B0"/>
    <w:rsid w:val="00C37846"/>
    <w:rsid w:val="00C45EAC"/>
    <w:rsid w:val="00C4635F"/>
    <w:rsid w:val="00C500BE"/>
    <w:rsid w:val="00C63D53"/>
    <w:rsid w:val="00C80B4A"/>
    <w:rsid w:val="00C85866"/>
    <w:rsid w:val="00CB5D2E"/>
    <w:rsid w:val="00D018E5"/>
    <w:rsid w:val="00D16CBB"/>
    <w:rsid w:val="00D17134"/>
    <w:rsid w:val="00D21320"/>
    <w:rsid w:val="00D257F9"/>
    <w:rsid w:val="00D40456"/>
    <w:rsid w:val="00D52E00"/>
    <w:rsid w:val="00D6368B"/>
    <w:rsid w:val="00D65FC4"/>
    <w:rsid w:val="00D662F7"/>
    <w:rsid w:val="00D7213E"/>
    <w:rsid w:val="00D76445"/>
    <w:rsid w:val="00D7775B"/>
    <w:rsid w:val="00D77D35"/>
    <w:rsid w:val="00D87E4A"/>
    <w:rsid w:val="00D961E8"/>
    <w:rsid w:val="00DA2A16"/>
    <w:rsid w:val="00DC2FD1"/>
    <w:rsid w:val="00DD4E37"/>
    <w:rsid w:val="00DE27DC"/>
    <w:rsid w:val="00DE525C"/>
    <w:rsid w:val="00DE7E75"/>
    <w:rsid w:val="00DF1414"/>
    <w:rsid w:val="00DF73D8"/>
    <w:rsid w:val="00E062E4"/>
    <w:rsid w:val="00E07064"/>
    <w:rsid w:val="00E36866"/>
    <w:rsid w:val="00E46763"/>
    <w:rsid w:val="00E60FF7"/>
    <w:rsid w:val="00E62EAF"/>
    <w:rsid w:val="00E83F86"/>
    <w:rsid w:val="00E92CCD"/>
    <w:rsid w:val="00E968B6"/>
    <w:rsid w:val="00EA2177"/>
    <w:rsid w:val="00EA347A"/>
    <w:rsid w:val="00EC0FBC"/>
    <w:rsid w:val="00ED64E5"/>
    <w:rsid w:val="00ED76E0"/>
    <w:rsid w:val="00EE41F9"/>
    <w:rsid w:val="00EE7E41"/>
    <w:rsid w:val="00EF5514"/>
    <w:rsid w:val="00EF6E79"/>
    <w:rsid w:val="00EF78FF"/>
    <w:rsid w:val="00F00B81"/>
    <w:rsid w:val="00F02699"/>
    <w:rsid w:val="00F0420B"/>
    <w:rsid w:val="00F07223"/>
    <w:rsid w:val="00F11650"/>
    <w:rsid w:val="00F12E18"/>
    <w:rsid w:val="00F1505B"/>
    <w:rsid w:val="00F207B0"/>
    <w:rsid w:val="00F20F41"/>
    <w:rsid w:val="00F23AB0"/>
    <w:rsid w:val="00F25DE5"/>
    <w:rsid w:val="00F26E5B"/>
    <w:rsid w:val="00F27446"/>
    <w:rsid w:val="00F30C7E"/>
    <w:rsid w:val="00F375ED"/>
    <w:rsid w:val="00F45251"/>
    <w:rsid w:val="00F45D2E"/>
    <w:rsid w:val="00F551B5"/>
    <w:rsid w:val="00F63366"/>
    <w:rsid w:val="00F77E74"/>
    <w:rsid w:val="00F80A20"/>
    <w:rsid w:val="00F83BE8"/>
    <w:rsid w:val="00F851BF"/>
    <w:rsid w:val="00F85CE0"/>
    <w:rsid w:val="00F969C9"/>
    <w:rsid w:val="00FA439E"/>
    <w:rsid w:val="00FA561C"/>
    <w:rsid w:val="00FA7969"/>
    <w:rsid w:val="00FB2DB8"/>
    <w:rsid w:val="00FB6CEF"/>
    <w:rsid w:val="00FD0A40"/>
    <w:rsid w:val="00FE11AA"/>
    <w:rsid w:val="00FE6B21"/>
    <w:rsid w:val="00FF5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lang w:eastAsia="en-US"/>
    </w:rPr>
  </w:style>
  <w:style w:type="paragraph" w:styleId="Heading2">
    <w:name w:val="heading 2"/>
    <w:basedOn w:val="Normal"/>
    <w:next w:val="Normal"/>
    <w:qFormat/>
    <w:pPr>
      <w:keepNext/>
      <w:numPr>
        <w:ilvl w:val="1"/>
        <w:numId w:val="1"/>
      </w:num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chid">
    <w:name w:val="Orchid"/>
    <w:pPr>
      <w:spacing w:after="120"/>
      <w:jc w:val="both"/>
    </w:pPr>
    <w:rPr>
      <w:lang w:eastAsia="en-US"/>
    </w:rPr>
  </w:style>
  <w:style w:type="paragraph" w:customStyle="1" w:styleId="Orchidbox">
    <w:name w:val="Orchid box"/>
    <w:basedOn w:val="Orchid"/>
    <w:pPr>
      <w:framePr w:w="5293" w:h="1039" w:hSpace="180" w:wrap="around" w:vAnchor="text" w:hAnchor="page" w:x="1173" w:y="300"/>
      <w:pBdr>
        <w:top w:val="single" w:sz="6" w:space="1" w:color="auto"/>
        <w:left w:val="single" w:sz="6" w:space="1" w:color="auto"/>
        <w:bottom w:val="single" w:sz="6" w:space="1" w:color="auto"/>
        <w:right w:val="single" w:sz="6" w:space="1" w:color="auto"/>
      </w:pBdr>
      <w:spacing w:after="0"/>
    </w:pPr>
  </w:style>
  <w:style w:type="paragraph" w:customStyle="1" w:styleId="Orchidlist">
    <w:name w:val="Orchid list"/>
    <w:pPr>
      <w:jc w:val="both"/>
    </w:pPr>
    <w:rPr>
      <w:lang w:eastAsia="en-US"/>
    </w:rPr>
  </w:style>
  <w:style w:type="paragraph" w:customStyle="1" w:styleId="Address">
    <w:name w:val="Address"/>
    <w:basedOn w:val="Normal"/>
    <w:pPr>
      <w:spacing w:after="0"/>
    </w:pPr>
    <w:rPr>
      <w:snapToGrid w:val="0"/>
    </w:rPr>
  </w:style>
  <w:style w:type="paragraph" w:customStyle="1" w:styleId="Orchidnumber">
    <w:name w:val="Orchid number"/>
    <w:basedOn w:val="Orchid"/>
    <w:next w:val="Orchid"/>
    <w:pPr>
      <w:numPr>
        <w:numId w:val="2"/>
      </w:numPr>
      <w:tabs>
        <w:tab w:val="left" w:pos="227"/>
      </w:tabs>
    </w:pPr>
  </w:style>
  <w:style w:type="paragraph" w:customStyle="1" w:styleId="Style1">
    <w:name w:val="Style1"/>
    <w:basedOn w:val="Orchid"/>
    <w:next w:val="Orchid"/>
    <w:rsid w:val="00B21606"/>
  </w:style>
  <w:style w:type="table" w:styleId="TableGrid">
    <w:name w:val="Table Grid"/>
    <w:basedOn w:val="TableNormal"/>
    <w:rsid w:val="006D76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D3B"/>
    <w:rPr>
      <w:rFonts w:ascii="Tahoma" w:hAnsi="Tahoma" w:cs="Tahoma"/>
      <w:sz w:val="16"/>
      <w:szCs w:val="16"/>
    </w:rPr>
  </w:style>
  <w:style w:type="character" w:styleId="Strong">
    <w:name w:val="Strong"/>
    <w:qFormat/>
    <w:rsid w:val="00320C77"/>
    <w:rPr>
      <w:b/>
      <w:bCs/>
    </w:rPr>
  </w:style>
  <w:style w:type="character" w:styleId="Hyperlink">
    <w:name w:val="Hyperlink"/>
    <w:rsid w:val="002768E1"/>
    <w:rPr>
      <w:color w:val="0000FF"/>
      <w:u w:val="single"/>
    </w:rPr>
  </w:style>
  <w:style w:type="paragraph" w:styleId="ListParagraph">
    <w:name w:val="List Paragraph"/>
    <w:basedOn w:val="Normal"/>
    <w:uiPriority w:val="34"/>
    <w:qFormat/>
    <w:rsid w:val="00485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lang w:eastAsia="en-US"/>
    </w:rPr>
  </w:style>
  <w:style w:type="paragraph" w:styleId="Heading2">
    <w:name w:val="heading 2"/>
    <w:basedOn w:val="Normal"/>
    <w:next w:val="Normal"/>
    <w:qFormat/>
    <w:pPr>
      <w:keepNext/>
      <w:numPr>
        <w:ilvl w:val="1"/>
        <w:numId w:val="1"/>
      </w:num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chid">
    <w:name w:val="Orchid"/>
    <w:pPr>
      <w:spacing w:after="120"/>
      <w:jc w:val="both"/>
    </w:pPr>
    <w:rPr>
      <w:lang w:eastAsia="en-US"/>
    </w:rPr>
  </w:style>
  <w:style w:type="paragraph" w:customStyle="1" w:styleId="Orchidbox">
    <w:name w:val="Orchid box"/>
    <w:basedOn w:val="Orchid"/>
    <w:pPr>
      <w:framePr w:w="5293" w:h="1039" w:hSpace="180" w:wrap="around" w:vAnchor="text" w:hAnchor="page" w:x="1173" w:y="300"/>
      <w:pBdr>
        <w:top w:val="single" w:sz="6" w:space="1" w:color="auto"/>
        <w:left w:val="single" w:sz="6" w:space="1" w:color="auto"/>
        <w:bottom w:val="single" w:sz="6" w:space="1" w:color="auto"/>
        <w:right w:val="single" w:sz="6" w:space="1" w:color="auto"/>
      </w:pBdr>
      <w:spacing w:after="0"/>
    </w:pPr>
  </w:style>
  <w:style w:type="paragraph" w:customStyle="1" w:styleId="Orchidlist">
    <w:name w:val="Orchid list"/>
    <w:pPr>
      <w:jc w:val="both"/>
    </w:pPr>
    <w:rPr>
      <w:lang w:eastAsia="en-US"/>
    </w:rPr>
  </w:style>
  <w:style w:type="paragraph" w:customStyle="1" w:styleId="Address">
    <w:name w:val="Address"/>
    <w:basedOn w:val="Normal"/>
    <w:pPr>
      <w:spacing w:after="0"/>
    </w:pPr>
    <w:rPr>
      <w:snapToGrid w:val="0"/>
    </w:rPr>
  </w:style>
  <w:style w:type="paragraph" w:customStyle="1" w:styleId="Orchidnumber">
    <w:name w:val="Orchid number"/>
    <w:basedOn w:val="Orchid"/>
    <w:next w:val="Orchid"/>
    <w:pPr>
      <w:numPr>
        <w:numId w:val="2"/>
      </w:numPr>
      <w:tabs>
        <w:tab w:val="left" w:pos="227"/>
      </w:tabs>
    </w:pPr>
  </w:style>
  <w:style w:type="paragraph" w:customStyle="1" w:styleId="Style1">
    <w:name w:val="Style1"/>
    <w:basedOn w:val="Orchid"/>
    <w:next w:val="Orchid"/>
    <w:rsid w:val="00B21606"/>
  </w:style>
  <w:style w:type="table" w:styleId="TableGrid">
    <w:name w:val="Table Grid"/>
    <w:basedOn w:val="TableNormal"/>
    <w:rsid w:val="006D76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D3B"/>
    <w:rPr>
      <w:rFonts w:ascii="Tahoma" w:hAnsi="Tahoma" w:cs="Tahoma"/>
      <w:sz w:val="16"/>
      <w:szCs w:val="16"/>
    </w:rPr>
  </w:style>
  <w:style w:type="character" w:styleId="Strong">
    <w:name w:val="Strong"/>
    <w:qFormat/>
    <w:rsid w:val="00320C77"/>
    <w:rPr>
      <w:b/>
      <w:bCs/>
    </w:rPr>
  </w:style>
  <w:style w:type="character" w:styleId="Hyperlink">
    <w:name w:val="Hyperlink"/>
    <w:rsid w:val="002768E1"/>
    <w:rPr>
      <w:color w:val="0000FF"/>
      <w:u w:val="single"/>
    </w:rPr>
  </w:style>
  <w:style w:type="paragraph" w:styleId="ListParagraph">
    <w:name w:val="List Paragraph"/>
    <w:basedOn w:val="Normal"/>
    <w:uiPriority w:val="34"/>
    <w:qFormat/>
    <w:rsid w:val="0048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444">
      <w:bodyDiv w:val="1"/>
      <w:marLeft w:val="0"/>
      <w:marRight w:val="0"/>
      <w:marTop w:val="0"/>
      <w:marBottom w:val="0"/>
      <w:divBdr>
        <w:top w:val="none" w:sz="0" w:space="0" w:color="auto"/>
        <w:left w:val="none" w:sz="0" w:space="0" w:color="auto"/>
        <w:bottom w:val="none" w:sz="0" w:space="0" w:color="auto"/>
        <w:right w:val="none" w:sz="0" w:space="0" w:color="auto"/>
      </w:divBdr>
    </w:div>
    <w:div w:id="224225306">
      <w:bodyDiv w:val="1"/>
      <w:marLeft w:val="0"/>
      <w:marRight w:val="0"/>
      <w:marTop w:val="0"/>
      <w:marBottom w:val="0"/>
      <w:divBdr>
        <w:top w:val="none" w:sz="0" w:space="0" w:color="auto"/>
        <w:left w:val="none" w:sz="0" w:space="0" w:color="auto"/>
        <w:bottom w:val="none" w:sz="0" w:space="0" w:color="auto"/>
        <w:right w:val="none" w:sz="0" w:space="0" w:color="auto"/>
      </w:divBdr>
    </w:div>
    <w:div w:id="229732796">
      <w:bodyDiv w:val="1"/>
      <w:marLeft w:val="0"/>
      <w:marRight w:val="0"/>
      <w:marTop w:val="0"/>
      <w:marBottom w:val="0"/>
      <w:divBdr>
        <w:top w:val="none" w:sz="0" w:space="0" w:color="auto"/>
        <w:left w:val="none" w:sz="0" w:space="0" w:color="auto"/>
        <w:bottom w:val="none" w:sz="0" w:space="0" w:color="auto"/>
        <w:right w:val="none" w:sz="0" w:space="0" w:color="auto"/>
      </w:divBdr>
    </w:div>
    <w:div w:id="316037421">
      <w:bodyDiv w:val="1"/>
      <w:marLeft w:val="0"/>
      <w:marRight w:val="0"/>
      <w:marTop w:val="0"/>
      <w:marBottom w:val="0"/>
      <w:divBdr>
        <w:top w:val="none" w:sz="0" w:space="0" w:color="auto"/>
        <w:left w:val="none" w:sz="0" w:space="0" w:color="auto"/>
        <w:bottom w:val="none" w:sz="0" w:space="0" w:color="auto"/>
        <w:right w:val="none" w:sz="0" w:space="0" w:color="auto"/>
      </w:divBdr>
    </w:div>
    <w:div w:id="353922081">
      <w:bodyDiv w:val="1"/>
      <w:marLeft w:val="0"/>
      <w:marRight w:val="0"/>
      <w:marTop w:val="0"/>
      <w:marBottom w:val="0"/>
      <w:divBdr>
        <w:top w:val="none" w:sz="0" w:space="0" w:color="auto"/>
        <w:left w:val="none" w:sz="0" w:space="0" w:color="auto"/>
        <w:bottom w:val="none" w:sz="0" w:space="0" w:color="auto"/>
        <w:right w:val="none" w:sz="0" w:space="0" w:color="auto"/>
      </w:divBdr>
      <w:divsChild>
        <w:div w:id="58091788">
          <w:marLeft w:val="0"/>
          <w:marRight w:val="0"/>
          <w:marTop w:val="0"/>
          <w:marBottom w:val="0"/>
          <w:divBdr>
            <w:top w:val="none" w:sz="0" w:space="0" w:color="auto"/>
            <w:left w:val="none" w:sz="0" w:space="0" w:color="auto"/>
            <w:bottom w:val="none" w:sz="0" w:space="0" w:color="auto"/>
            <w:right w:val="none" w:sz="0" w:space="0" w:color="auto"/>
          </w:divBdr>
        </w:div>
        <w:div w:id="217862857">
          <w:marLeft w:val="0"/>
          <w:marRight w:val="0"/>
          <w:marTop w:val="0"/>
          <w:marBottom w:val="0"/>
          <w:divBdr>
            <w:top w:val="none" w:sz="0" w:space="0" w:color="auto"/>
            <w:left w:val="none" w:sz="0" w:space="0" w:color="auto"/>
            <w:bottom w:val="none" w:sz="0" w:space="0" w:color="auto"/>
            <w:right w:val="none" w:sz="0" w:space="0" w:color="auto"/>
          </w:divBdr>
        </w:div>
      </w:divsChild>
    </w:div>
    <w:div w:id="494689742">
      <w:bodyDiv w:val="1"/>
      <w:marLeft w:val="0"/>
      <w:marRight w:val="0"/>
      <w:marTop w:val="0"/>
      <w:marBottom w:val="0"/>
      <w:divBdr>
        <w:top w:val="none" w:sz="0" w:space="0" w:color="auto"/>
        <w:left w:val="none" w:sz="0" w:space="0" w:color="auto"/>
        <w:bottom w:val="none" w:sz="0" w:space="0" w:color="auto"/>
        <w:right w:val="none" w:sz="0" w:space="0" w:color="auto"/>
      </w:divBdr>
    </w:div>
    <w:div w:id="648368560">
      <w:bodyDiv w:val="1"/>
      <w:marLeft w:val="0"/>
      <w:marRight w:val="0"/>
      <w:marTop w:val="0"/>
      <w:marBottom w:val="0"/>
      <w:divBdr>
        <w:top w:val="none" w:sz="0" w:space="0" w:color="auto"/>
        <w:left w:val="none" w:sz="0" w:space="0" w:color="auto"/>
        <w:bottom w:val="none" w:sz="0" w:space="0" w:color="auto"/>
        <w:right w:val="none" w:sz="0" w:space="0" w:color="auto"/>
      </w:divBdr>
    </w:div>
    <w:div w:id="806239187">
      <w:bodyDiv w:val="1"/>
      <w:marLeft w:val="0"/>
      <w:marRight w:val="0"/>
      <w:marTop w:val="0"/>
      <w:marBottom w:val="0"/>
      <w:divBdr>
        <w:top w:val="none" w:sz="0" w:space="0" w:color="auto"/>
        <w:left w:val="none" w:sz="0" w:space="0" w:color="auto"/>
        <w:bottom w:val="none" w:sz="0" w:space="0" w:color="auto"/>
        <w:right w:val="none" w:sz="0" w:space="0" w:color="auto"/>
      </w:divBdr>
    </w:div>
    <w:div w:id="812940963">
      <w:bodyDiv w:val="1"/>
      <w:marLeft w:val="0"/>
      <w:marRight w:val="0"/>
      <w:marTop w:val="0"/>
      <w:marBottom w:val="0"/>
      <w:divBdr>
        <w:top w:val="none" w:sz="0" w:space="0" w:color="auto"/>
        <w:left w:val="none" w:sz="0" w:space="0" w:color="auto"/>
        <w:bottom w:val="none" w:sz="0" w:space="0" w:color="auto"/>
        <w:right w:val="none" w:sz="0" w:space="0" w:color="auto"/>
      </w:divBdr>
      <w:divsChild>
        <w:div w:id="309528258">
          <w:marLeft w:val="0"/>
          <w:marRight w:val="0"/>
          <w:marTop w:val="0"/>
          <w:marBottom w:val="0"/>
          <w:divBdr>
            <w:top w:val="none" w:sz="0" w:space="0" w:color="auto"/>
            <w:left w:val="none" w:sz="0" w:space="0" w:color="auto"/>
            <w:bottom w:val="none" w:sz="0" w:space="0" w:color="auto"/>
            <w:right w:val="none" w:sz="0" w:space="0" w:color="auto"/>
          </w:divBdr>
        </w:div>
        <w:div w:id="861820979">
          <w:marLeft w:val="0"/>
          <w:marRight w:val="0"/>
          <w:marTop w:val="0"/>
          <w:marBottom w:val="0"/>
          <w:divBdr>
            <w:top w:val="none" w:sz="0" w:space="0" w:color="auto"/>
            <w:left w:val="none" w:sz="0" w:space="0" w:color="auto"/>
            <w:bottom w:val="none" w:sz="0" w:space="0" w:color="auto"/>
            <w:right w:val="none" w:sz="0" w:space="0" w:color="auto"/>
          </w:divBdr>
        </w:div>
        <w:div w:id="1147479569">
          <w:marLeft w:val="0"/>
          <w:marRight w:val="0"/>
          <w:marTop w:val="0"/>
          <w:marBottom w:val="0"/>
          <w:divBdr>
            <w:top w:val="none" w:sz="0" w:space="0" w:color="auto"/>
            <w:left w:val="none" w:sz="0" w:space="0" w:color="auto"/>
            <w:bottom w:val="none" w:sz="0" w:space="0" w:color="auto"/>
            <w:right w:val="none" w:sz="0" w:space="0" w:color="auto"/>
          </w:divBdr>
        </w:div>
        <w:div w:id="1438211163">
          <w:marLeft w:val="0"/>
          <w:marRight w:val="0"/>
          <w:marTop w:val="0"/>
          <w:marBottom w:val="0"/>
          <w:divBdr>
            <w:top w:val="none" w:sz="0" w:space="0" w:color="auto"/>
            <w:left w:val="none" w:sz="0" w:space="0" w:color="auto"/>
            <w:bottom w:val="none" w:sz="0" w:space="0" w:color="auto"/>
            <w:right w:val="none" w:sz="0" w:space="0" w:color="auto"/>
          </w:divBdr>
        </w:div>
        <w:div w:id="1872105529">
          <w:marLeft w:val="0"/>
          <w:marRight w:val="0"/>
          <w:marTop w:val="0"/>
          <w:marBottom w:val="0"/>
          <w:divBdr>
            <w:top w:val="none" w:sz="0" w:space="0" w:color="auto"/>
            <w:left w:val="none" w:sz="0" w:space="0" w:color="auto"/>
            <w:bottom w:val="none" w:sz="0" w:space="0" w:color="auto"/>
            <w:right w:val="none" w:sz="0" w:space="0" w:color="auto"/>
          </w:divBdr>
        </w:div>
      </w:divsChild>
    </w:div>
    <w:div w:id="861407026">
      <w:bodyDiv w:val="1"/>
      <w:marLeft w:val="0"/>
      <w:marRight w:val="0"/>
      <w:marTop w:val="0"/>
      <w:marBottom w:val="0"/>
      <w:divBdr>
        <w:top w:val="none" w:sz="0" w:space="0" w:color="auto"/>
        <w:left w:val="none" w:sz="0" w:space="0" w:color="auto"/>
        <w:bottom w:val="none" w:sz="0" w:space="0" w:color="auto"/>
        <w:right w:val="none" w:sz="0" w:space="0" w:color="auto"/>
      </w:divBdr>
    </w:div>
    <w:div w:id="1109590736">
      <w:bodyDiv w:val="1"/>
      <w:marLeft w:val="0"/>
      <w:marRight w:val="0"/>
      <w:marTop w:val="0"/>
      <w:marBottom w:val="0"/>
      <w:divBdr>
        <w:top w:val="none" w:sz="0" w:space="0" w:color="auto"/>
        <w:left w:val="none" w:sz="0" w:space="0" w:color="auto"/>
        <w:bottom w:val="none" w:sz="0" w:space="0" w:color="auto"/>
        <w:right w:val="none" w:sz="0" w:space="0" w:color="auto"/>
      </w:divBdr>
    </w:div>
    <w:div w:id="1148982085">
      <w:bodyDiv w:val="1"/>
      <w:marLeft w:val="0"/>
      <w:marRight w:val="0"/>
      <w:marTop w:val="0"/>
      <w:marBottom w:val="0"/>
      <w:divBdr>
        <w:top w:val="none" w:sz="0" w:space="0" w:color="auto"/>
        <w:left w:val="none" w:sz="0" w:space="0" w:color="auto"/>
        <w:bottom w:val="none" w:sz="0" w:space="0" w:color="auto"/>
        <w:right w:val="none" w:sz="0" w:space="0" w:color="auto"/>
      </w:divBdr>
    </w:div>
    <w:div w:id="1286473041">
      <w:bodyDiv w:val="1"/>
      <w:marLeft w:val="0"/>
      <w:marRight w:val="0"/>
      <w:marTop w:val="0"/>
      <w:marBottom w:val="0"/>
      <w:divBdr>
        <w:top w:val="none" w:sz="0" w:space="0" w:color="auto"/>
        <w:left w:val="none" w:sz="0" w:space="0" w:color="auto"/>
        <w:bottom w:val="none" w:sz="0" w:space="0" w:color="auto"/>
        <w:right w:val="none" w:sz="0" w:space="0" w:color="auto"/>
      </w:divBdr>
    </w:div>
    <w:div w:id="1544750297">
      <w:bodyDiv w:val="1"/>
      <w:marLeft w:val="0"/>
      <w:marRight w:val="0"/>
      <w:marTop w:val="0"/>
      <w:marBottom w:val="0"/>
      <w:divBdr>
        <w:top w:val="none" w:sz="0" w:space="0" w:color="auto"/>
        <w:left w:val="none" w:sz="0" w:space="0" w:color="auto"/>
        <w:bottom w:val="none" w:sz="0" w:space="0" w:color="auto"/>
        <w:right w:val="none" w:sz="0" w:space="0" w:color="auto"/>
      </w:divBdr>
    </w:div>
    <w:div w:id="1704011191">
      <w:bodyDiv w:val="1"/>
      <w:marLeft w:val="0"/>
      <w:marRight w:val="0"/>
      <w:marTop w:val="0"/>
      <w:marBottom w:val="0"/>
      <w:divBdr>
        <w:top w:val="none" w:sz="0" w:space="0" w:color="auto"/>
        <w:left w:val="none" w:sz="0" w:space="0" w:color="auto"/>
        <w:bottom w:val="none" w:sz="0" w:space="0" w:color="auto"/>
        <w:right w:val="none" w:sz="0" w:space="0" w:color="auto"/>
      </w:divBdr>
    </w:div>
    <w:div w:id="1881742390">
      <w:bodyDiv w:val="1"/>
      <w:marLeft w:val="0"/>
      <w:marRight w:val="0"/>
      <w:marTop w:val="0"/>
      <w:marBottom w:val="0"/>
      <w:divBdr>
        <w:top w:val="none" w:sz="0" w:space="0" w:color="auto"/>
        <w:left w:val="none" w:sz="0" w:space="0" w:color="auto"/>
        <w:bottom w:val="none" w:sz="0" w:space="0" w:color="auto"/>
        <w:right w:val="none" w:sz="0" w:space="0" w:color="auto"/>
      </w:divBdr>
    </w:div>
    <w:div w:id="1944455950">
      <w:bodyDiv w:val="1"/>
      <w:marLeft w:val="0"/>
      <w:marRight w:val="0"/>
      <w:marTop w:val="0"/>
      <w:marBottom w:val="0"/>
      <w:divBdr>
        <w:top w:val="none" w:sz="0" w:space="0" w:color="auto"/>
        <w:left w:val="none" w:sz="0" w:space="0" w:color="auto"/>
        <w:bottom w:val="none" w:sz="0" w:space="0" w:color="auto"/>
        <w:right w:val="none" w:sz="0" w:space="0" w:color="auto"/>
      </w:divBdr>
    </w:div>
    <w:div w:id="2050716511">
      <w:bodyDiv w:val="1"/>
      <w:marLeft w:val="0"/>
      <w:marRight w:val="0"/>
      <w:marTop w:val="0"/>
      <w:marBottom w:val="0"/>
      <w:divBdr>
        <w:top w:val="none" w:sz="0" w:space="0" w:color="auto"/>
        <w:left w:val="none" w:sz="0" w:space="0" w:color="auto"/>
        <w:bottom w:val="none" w:sz="0" w:space="0" w:color="auto"/>
        <w:right w:val="none" w:sz="0" w:space="0" w:color="auto"/>
      </w:divBdr>
      <w:divsChild>
        <w:div w:id="865556813">
          <w:marLeft w:val="0"/>
          <w:marRight w:val="0"/>
          <w:marTop w:val="0"/>
          <w:marBottom w:val="0"/>
          <w:divBdr>
            <w:top w:val="none" w:sz="0" w:space="0" w:color="auto"/>
            <w:left w:val="none" w:sz="0" w:space="0" w:color="auto"/>
            <w:bottom w:val="none" w:sz="0" w:space="0" w:color="auto"/>
            <w:right w:val="none" w:sz="0" w:space="0" w:color="auto"/>
          </w:divBdr>
        </w:div>
        <w:div w:id="1630546785">
          <w:marLeft w:val="0"/>
          <w:marRight w:val="0"/>
          <w:marTop w:val="0"/>
          <w:marBottom w:val="0"/>
          <w:divBdr>
            <w:top w:val="none" w:sz="0" w:space="0" w:color="auto"/>
            <w:left w:val="none" w:sz="0" w:space="0" w:color="auto"/>
            <w:bottom w:val="none" w:sz="0" w:space="0" w:color="auto"/>
            <w:right w:val="none" w:sz="0" w:space="0" w:color="auto"/>
          </w:divBdr>
        </w:div>
      </w:divsChild>
    </w:div>
    <w:div w:id="20675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Australia Yearly Meeting of the Religious Society of Friends</vt:lpstr>
    </vt:vector>
  </TitlesOfParts>
  <Company>Toshiba</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Yearly Meeting of the Religious Society of Friends</dc:title>
  <dc:creator>Roger Sawkins</dc:creator>
  <cp:lastModifiedBy>Roger Sawkins</cp:lastModifiedBy>
  <cp:revision>12</cp:revision>
  <cp:lastPrinted>2013-09-29T23:14:00Z</cp:lastPrinted>
  <dcterms:created xsi:type="dcterms:W3CDTF">2020-10-25T02:29:00Z</dcterms:created>
  <dcterms:modified xsi:type="dcterms:W3CDTF">2020-11-20T23:22:00Z</dcterms:modified>
</cp:coreProperties>
</file>