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7FF7D" w14:textId="737CC2A1" w:rsidR="00AB7B87" w:rsidRDefault="00AB7B87" w:rsidP="00FB76A9">
      <w:pPr>
        <w:pStyle w:val="Heading1"/>
        <w:spacing w:before="40" w:after="240" w:line="240" w:lineRule="auto"/>
        <w:rPr>
          <w:rFonts w:eastAsia="Times New Roman"/>
        </w:rPr>
      </w:pPr>
      <w:bookmarkStart w:id="0" w:name="_GoBack"/>
      <w:bookmarkEnd w:id="0"/>
      <w:r>
        <w:rPr>
          <w:rFonts w:eastAsia="Times New Roman"/>
        </w:rPr>
        <w:t xml:space="preserve">Checklist of governance tasks for </w:t>
      </w:r>
      <w:r w:rsidR="004B1246">
        <w:rPr>
          <w:rFonts w:eastAsia="Times New Roman"/>
        </w:rPr>
        <w:t xml:space="preserve">those who are current </w:t>
      </w:r>
      <w:r>
        <w:rPr>
          <w:rFonts w:eastAsia="Times New Roman"/>
        </w:rPr>
        <w:t>RM and LM office holders</w:t>
      </w:r>
    </w:p>
    <w:p w14:paraId="4C90F274" w14:textId="2146D7B5" w:rsidR="004B1246" w:rsidRDefault="004B1246" w:rsidP="004B1246">
      <w:r>
        <w:t xml:space="preserve">This document provides an overview of all actions needed to ensure regulatory compliance applicable to </w:t>
      </w:r>
      <w:r w:rsidR="00AE132D">
        <w:t xml:space="preserve">NSW </w:t>
      </w:r>
      <w:r>
        <w:t>RM. This document is for internal use, to guide current office holders as to what actions they are responsible to take.</w:t>
      </w:r>
      <w:r w:rsidR="00CB4B57">
        <w:t xml:space="preserve"> The full suite of governance documentation and resources is available on </w:t>
      </w:r>
      <w:hyperlink r:id="rId7" w:history="1">
        <w:r w:rsidR="00CB4B57" w:rsidRPr="00886939">
          <w:rPr>
            <w:rStyle w:val="Hyperlink"/>
          </w:rPr>
          <w:t>https://www.quakersaustralia.info/organisation/regional-meetings/new-south-wales-regional-meeting/governance</w:t>
        </w:r>
      </w:hyperlink>
    </w:p>
    <w:p w14:paraId="6341F347" w14:textId="423BFE54" w:rsidR="004B1246" w:rsidRPr="004B1246" w:rsidRDefault="018F3364" w:rsidP="004B1246">
      <w:r>
        <w:t xml:space="preserve">To use this document as a checklist, scan down the ‘Who’ column to find your </w:t>
      </w:r>
      <w:proofErr w:type="gramStart"/>
      <w:r>
        <w:t>particular role</w:t>
      </w:r>
      <w:proofErr w:type="gramEnd"/>
      <w:r>
        <w:t xml:space="preserve"> and see the ‘Details’ column to learn what actions you are required to take in relation to that regulatory item.</w:t>
      </w:r>
    </w:p>
    <w:tbl>
      <w:tblPr>
        <w:tblStyle w:val="TableGrid"/>
        <w:tblW w:w="14029" w:type="dxa"/>
        <w:tblLayout w:type="fixed"/>
        <w:tblLook w:val="04A0" w:firstRow="1" w:lastRow="0" w:firstColumn="1" w:lastColumn="0" w:noHBand="0" w:noVBand="1"/>
      </w:tblPr>
      <w:tblGrid>
        <w:gridCol w:w="1838"/>
        <w:gridCol w:w="1559"/>
        <w:gridCol w:w="1560"/>
        <w:gridCol w:w="9072"/>
      </w:tblGrid>
      <w:tr w:rsidR="0071233E" w14:paraId="22C03564" w14:textId="77777777" w:rsidTr="018F3364">
        <w:trPr>
          <w:trHeight w:val="510"/>
        </w:trPr>
        <w:tc>
          <w:tcPr>
            <w:tcW w:w="1838" w:type="dxa"/>
            <w:shd w:val="clear" w:color="auto" w:fill="E7E6E6" w:themeFill="background2"/>
            <w:vAlign w:val="center"/>
          </w:tcPr>
          <w:p w14:paraId="350A3D59" w14:textId="439CDCC1" w:rsidR="0071233E" w:rsidRDefault="0071233E" w:rsidP="0071233E">
            <w:pPr>
              <w:spacing w:before="40" w:after="40"/>
            </w:pPr>
            <w:r>
              <w:t>Item</w:t>
            </w:r>
          </w:p>
        </w:tc>
        <w:tc>
          <w:tcPr>
            <w:tcW w:w="1559" w:type="dxa"/>
            <w:shd w:val="clear" w:color="auto" w:fill="E7E6E6" w:themeFill="background2"/>
            <w:vAlign w:val="center"/>
          </w:tcPr>
          <w:p w14:paraId="64E04FA7" w14:textId="73CDBD43" w:rsidR="0071233E" w:rsidRDefault="0071233E" w:rsidP="0071233E">
            <w:pPr>
              <w:spacing w:before="40" w:after="40"/>
            </w:pPr>
            <w:r>
              <w:t>When</w:t>
            </w:r>
          </w:p>
        </w:tc>
        <w:tc>
          <w:tcPr>
            <w:tcW w:w="1560" w:type="dxa"/>
            <w:shd w:val="clear" w:color="auto" w:fill="E7E6E6" w:themeFill="background2"/>
            <w:vAlign w:val="center"/>
          </w:tcPr>
          <w:p w14:paraId="0C5CAF16" w14:textId="36E2BBC9" w:rsidR="0071233E" w:rsidRDefault="0071233E" w:rsidP="0071233E">
            <w:pPr>
              <w:spacing w:before="40" w:after="40"/>
            </w:pPr>
            <w:r>
              <w:t>Who</w:t>
            </w:r>
          </w:p>
        </w:tc>
        <w:tc>
          <w:tcPr>
            <w:tcW w:w="9072" w:type="dxa"/>
            <w:shd w:val="clear" w:color="auto" w:fill="E7E6E6" w:themeFill="background2"/>
            <w:vAlign w:val="center"/>
          </w:tcPr>
          <w:p w14:paraId="5FB7A19F" w14:textId="334ADF05" w:rsidR="0071233E" w:rsidRDefault="0071233E" w:rsidP="0071233E">
            <w:pPr>
              <w:spacing w:before="40" w:after="40"/>
            </w:pPr>
            <w:r>
              <w:t>Details</w:t>
            </w:r>
          </w:p>
        </w:tc>
      </w:tr>
      <w:tr w:rsidR="0071233E" w14:paraId="0EB3835C" w14:textId="77777777" w:rsidTr="018F3364">
        <w:trPr>
          <w:trHeight w:val="1085"/>
        </w:trPr>
        <w:tc>
          <w:tcPr>
            <w:tcW w:w="1838" w:type="dxa"/>
            <w:vAlign w:val="center"/>
          </w:tcPr>
          <w:p w14:paraId="550F0C44" w14:textId="55753AA3" w:rsidR="0071233E" w:rsidRDefault="0071233E" w:rsidP="0071233E">
            <w:pPr>
              <w:spacing w:before="40" w:after="40"/>
            </w:pPr>
            <w:r>
              <w:t>Meeting for Worship for Business</w:t>
            </w:r>
          </w:p>
        </w:tc>
        <w:tc>
          <w:tcPr>
            <w:tcW w:w="1559" w:type="dxa"/>
            <w:vAlign w:val="center"/>
          </w:tcPr>
          <w:p w14:paraId="3D5677ED" w14:textId="1A07C8C0" w:rsidR="0071233E" w:rsidRDefault="0071233E" w:rsidP="0071233E">
            <w:pPr>
              <w:spacing w:before="40" w:after="40"/>
            </w:pPr>
            <w:r>
              <w:t>Monthly</w:t>
            </w:r>
            <w:r w:rsidR="004C6ABD">
              <w:t xml:space="preserve"> or as agreed by the Meeting</w:t>
            </w:r>
          </w:p>
        </w:tc>
        <w:tc>
          <w:tcPr>
            <w:tcW w:w="1560" w:type="dxa"/>
            <w:vAlign w:val="center"/>
          </w:tcPr>
          <w:p w14:paraId="3943962A" w14:textId="19569D12" w:rsidR="0071233E" w:rsidRDefault="018F3364" w:rsidP="0071233E">
            <w:pPr>
              <w:spacing w:before="40" w:after="40"/>
            </w:pPr>
            <w:r>
              <w:t>LM / RM Clerks</w:t>
            </w:r>
          </w:p>
        </w:tc>
        <w:tc>
          <w:tcPr>
            <w:tcW w:w="9072" w:type="dxa"/>
            <w:vAlign w:val="center"/>
          </w:tcPr>
          <w:p w14:paraId="698AF9DC" w14:textId="77777777" w:rsidR="0071233E" w:rsidRPr="00003ACC" w:rsidRDefault="0071233E" w:rsidP="0071233E">
            <w:pPr>
              <w:spacing w:before="40" w:after="40"/>
              <w:rPr>
                <w:rFonts w:cstheme="minorHAnsi"/>
              </w:rPr>
            </w:pPr>
            <w:r w:rsidRPr="00003ACC">
              <w:rPr>
                <w:rFonts w:cstheme="minorHAnsi"/>
              </w:rPr>
              <w:t>Ensure financial statements from treasurer are included with minutes</w:t>
            </w:r>
          </w:p>
          <w:p w14:paraId="13A04AF6" w14:textId="77777777" w:rsidR="0071233E" w:rsidRDefault="0071233E" w:rsidP="0071233E">
            <w:pPr>
              <w:spacing w:before="40" w:after="40"/>
            </w:pPr>
            <w:r>
              <w:t>LM clerk to send minutes to RM clerk ASAP, copy to be retained indefinitely</w:t>
            </w:r>
          </w:p>
          <w:p w14:paraId="07687146" w14:textId="77777777" w:rsidR="0071233E" w:rsidRDefault="0071233E" w:rsidP="0071233E">
            <w:pPr>
              <w:spacing w:before="40" w:after="40"/>
            </w:pPr>
            <w:r>
              <w:t>RM clerk to send minutes to AYM Secretary ASAP, copy to be retained indefinitely</w:t>
            </w:r>
          </w:p>
          <w:p w14:paraId="240EE6C8" w14:textId="39256F9D" w:rsidR="0071233E" w:rsidRPr="00003ACC" w:rsidRDefault="018F3364" w:rsidP="018F3364">
            <w:pPr>
              <w:spacing w:before="40" w:after="40"/>
            </w:pPr>
            <w:r>
              <w:t>The clerk must stand aside if there is an actual or perceived conflict of interest. Minutes should note a) who took over clerking that agenda item and b) when the clerk returned</w:t>
            </w:r>
          </w:p>
          <w:p w14:paraId="70E4A5A4" w14:textId="5374A086" w:rsidR="0071233E" w:rsidRPr="00003ACC" w:rsidRDefault="0071233E" w:rsidP="018F3364">
            <w:pPr>
              <w:spacing w:before="40" w:after="40"/>
              <w:rPr>
                <w:rFonts w:cstheme="minorHAnsi"/>
              </w:rPr>
            </w:pPr>
          </w:p>
        </w:tc>
      </w:tr>
      <w:tr w:rsidR="0071233E" w14:paraId="37E2EE46" w14:textId="77777777" w:rsidTr="018F3364">
        <w:tc>
          <w:tcPr>
            <w:tcW w:w="1838" w:type="dxa"/>
            <w:vMerge w:val="restart"/>
            <w:vAlign w:val="center"/>
          </w:tcPr>
          <w:p w14:paraId="6C1A6F63" w14:textId="77777777" w:rsidR="0071233E" w:rsidRDefault="0071233E" w:rsidP="0071233E">
            <w:pPr>
              <w:spacing w:before="40" w:after="40"/>
            </w:pPr>
            <w:r>
              <w:t>Annual Report</w:t>
            </w:r>
          </w:p>
        </w:tc>
        <w:tc>
          <w:tcPr>
            <w:tcW w:w="1559" w:type="dxa"/>
            <w:vAlign w:val="center"/>
          </w:tcPr>
          <w:p w14:paraId="4D3021C0" w14:textId="345E9680" w:rsidR="004C6ABD" w:rsidRDefault="004C6ABD" w:rsidP="0071233E">
            <w:pPr>
              <w:spacing w:before="40" w:after="40"/>
            </w:pPr>
            <w:r>
              <w:t>November</w:t>
            </w:r>
          </w:p>
        </w:tc>
        <w:tc>
          <w:tcPr>
            <w:tcW w:w="1560" w:type="dxa"/>
            <w:vAlign w:val="center"/>
          </w:tcPr>
          <w:p w14:paraId="4A8B9519" w14:textId="77777777" w:rsidR="0071233E" w:rsidRDefault="0071233E" w:rsidP="0071233E">
            <w:pPr>
              <w:spacing w:before="40" w:after="40"/>
            </w:pPr>
            <w:r>
              <w:t>LM Treasurer</w:t>
            </w:r>
          </w:p>
        </w:tc>
        <w:tc>
          <w:tcPr>
            <w:tcW w:w="9072" w:type="dxa"/>
            <w:vAlign w:val="center"/>
          </w:tcPr>
          <w:p w14:paraId="67E3AB75" w14:textId="77777777" w:rsidR="0071233E" w:rsidRDefault="0071233E" w:rsidP="0071233E">
            <w:pPr>
              <w:spacing w:before="40" w:after="40"/>
            </w:pPr>
            <w:r>
              <w:t>Financial report– at a minimum financial year open/closing balance and Income &amp; Expense itemisation for the fiscal year which is October 1</w:t>
            </w:r>
            <w:r w:rsidRPr="008B558F">
              <w:rPr>
                <w:vertAlign w:val="superscript"/>
              </w:rPr>
              <w:t>st</w:t>
            </w:r>
            <w:r>
              <w:t xml:space="preserve"> to September 30</w:t>
            </w:r>
            <w:r w:rsidRPr="008B558F">
              <w:rPr>
                <w:vertAlign w:val="superscript"/>
              </w:rPr>
              <w:t>th</w:t>
            </w:r>
            <w:r>
              <w:t xml:space="preserve"> </w:t>
            </w:r>
          </w:p>
          <w:p w14:paraId="24359D5E" w14:textId="759403B2" w:rsidR="0071233E" w:rsidRDefault="0071233E" w:rsidP="004C6ABD">
            <w:pPr>
              <w:spacing w:before="40" w:after="40"/>
            </w:pPr>
            <w:r>
              <w:t xml:space="preserve">Reports should be submitted in </w:t>
            </w:r>
            <w:r w:rsidR="004C6ABD">
              <w:t xml:space="preserve">November </w:t>
            </w:r>
            <w:r>
              <w:t>to the LM clerk with a copy retained indefinitely</w:t>
            </w:r>
          </w:p>
        </w:tc>
      </w:tr>
      <w:tr w:rsidR="0071233E" w14:paraId="069CD9BB" w14:textId="77777777" w:rsidTr="018F3364">
        <w:tc>
          <w:tcPr>
            <w:tcW w:w="1838" w:type="dxa"/>
            <w:vMerge/>
            <w:vAlign w:val="center"/>
          </w:tcPr>
          <w:p w14:paraId="17DBC614" w14:textId="77777777" w:rsidR="0071233E" w:rsidRDefault="0071233E" w:rsidP="0071233E">
            <w:pPr>
              <w:spacing w:before="40" w:after="40"/>
            </w:pPr>
          </w:p>
        </w:tc>
        <w:tc>
          <w:tcPr>
            <w:tcW w:w="1559" w:type="dxa"/>
            <w:vAlign w:val="center"/>
          </w:tcPr>
          <w:p w14:paraId="654AAE27" w14:textId="77777777" w:rsidR="0071233E" w:rsidRDefault="0071233E" w:rsidP="0071233E">
            <w:pPr>
              <w:spacing w:before="40" w:after="40"/>
            </w:pPr>
            <w:r>
              <w:t>November</w:t>
            </w:r>
          </w:p>
        </w:tc>
        <w:tc>
          <w:tcPr>
            <w:tcW w:w="1560" w:type="dxa"/>
            <w:vAlign w:val="center"/>
          </w:tcPr>
          <w:p w14:paraId="7D07F38B" w14:textId="77777777" w:rsidR="0071233E" w:rsidRDefault="0071233E" w:rsidP="0071233E">
            <w:pPr>
              <w:spacing w:before="40" w:after="40"/>
            </w:pPr>
            <w:r>
              <w:t>LM Clerk</w:t>
            </w:r>
          </w:p>
        </w:tc>
        <w:tc>
          <w:tcPr>
            <w:tcW w:w="9072" w:type="dxa"/>
            <w:vAlign w:val="center"/>
          </w:tcPr>
          <w:p w14:paraId="3517127C" w14:textId="77777777" w:rsidR="0071233E" w:rsidRDefault="0071233E" w:rsidP="0071233E">
            <w:pPr>
              <w:spacing w:before="40" w:after="40"/>
            </w:pPr>
            <w:r>
              <w:t xml:space="preserve">LM annual report to include: </w:t>
            </w:r>
          </w:p>
          <w:p w14:paraId="512CE39B" w14:textId="089E33FD" w:rsidR="0071233E" w:rsidRDefault="018F3364" w:rsidP="0071233E">
            <w:pPr>
              <w:spacing w:before="40" w:after="40"/>
            </w:pPr>
            <w:r>
              <w:t>1) list of members / attenders and children</w:t>
            </w:r>
          </w:p>
          <w:p w14:paraId="422492DE" w14:textId="2E6476EC" w:rsidR="0071233E" w:rsidRDefault="018F3364" w:rsidP="0071233E">
            <w:pPr>
              <w:spacing w:before="40" w:after="40"/>
            </w:pPr>
            <w:r>
              <w:t>2) financial report from treasurer – as above</w:t>
            </w:r>
          </w:p>
          <w:p w14:paraId="10231529" w14:textId="6EC0CA9B" w:rsidR="0071233E" w:rsidRDefault="018F3364" w:rsidP="0071233E">
            <w:pPr>
              <w:spacing w:before="40" w:after="40"/>
            </w:pPr>
            <w:r>
              <w:t>3) activities of the meeting, ‘how has truth prospered’</w:t>
            </w:r>
          </w:p>
          <w:p w14:paraId="2CEF7673" w14:textId="77777777" w:rsidR="0071233E" w:rsidRDefault="0071233E" w:rsidP="0071233E">
            <w:pPr>
              <w:spacing w:before="40" w:after="40"/>
            </w:pPr>
            <w:r>
              <w:t>4) other topics as requested by the RM / AYM</w:t>
            </w:r>
          </w:p>
          <w:p w14:paraId="799FE839" w14:textId="77777777" w:rsidR="0071233E" w:rsidRDefault="0071233E" w:rsidP="0071233E">
            <w:pPr>
              <w:spacing w:before="40" w:after="40"/>
            </w:pPr>
            <w:r>
              <w:t>Reports should be submitted in November to the RM clerk with a copy retained indefinitely</w:t>
            </w:r>
          </w:p>
        </w:tc>
      </w:tr>
      <w:tr w:rsidR="0071233E" w14:paraId="341F59FB" w14:textId="77777777" w:rsidTr="018F3364">
        <w:tc>
          <w:tcPr>
            <w:tcW w:w="1838" w:type="dxa"/>
            <w:vMerge/>
            <w:vAlign w:val="center"/>
          </w:tcPr>
          <w:p w14:paraId="4A599AB3" w14:textId="77777777" w:rsidR="0071233E" w:rsidRDefault="0071233E" w:rsidP="0071233E">
            <w:pPr>
              <w:spacing w:before="40" w:after="40"/>
            </w:pPr>
          </w:p>
        </w:tc>
        <w:tc>
          <w:tcPr>
            <w:tcW w:w="1559" w:type="dxa"/>
            <w:vAlign w:val="center"/>
          </w:tcPr>
          <w:p w14:paraId="6A908E9B" w14:textId="77777777" w:rsidR="0071233E" w:rsidRDefault="0071233E" w:rsidP="0071233E">
            <w:pPr>
              <w:spacing w:before="40" w:after="40"/>
            </w:pPr>
            <w:r>
              <w:t>December</w:t>
            </w:r>
          </w:p>
        </w:tc>
        <w:tc>
          <w:tcPr>
            <w:tcW w:w="1560" w:type="dxa"/>
            <w:vAlign w:val="center"/>
          </w:tcPr>
          <w:p w14:paraId="46BBB862" w14:textId="77777777" w:rsidR="0071233E" w:rsidRPr="00B0464A" w:rsidRDefault="0071233E" w:rsidP="0071233E">
            <w:pPr>
              <w:spacing w:before="40" w:after="40"/>
            </w:pPr>
            <w:r w:rsidRPr="00B0464A">
              <w:t>RM Treasurer</w:t>
            </w:r>
          </w:p>
        </w:tc>
        <w:tc>
          <w:tcPr>
            <w:tcW w:w="9072" w:type="dxa"/>
            <w:vAlign w:val="center"/>
          </w:tcPr>
          <w:p w14:paraId="2A9D6CE8" w14:textId="5B6950FD" w:rsidR="0071233E" w:rsidRPr="00B0464A" w:rsidRDefault="0071233E" w:rsidP="0071233E">
            <w:pPr>
              <w:spacing w:before="40" w:after="40"/>
            </w:pPr>
            <w:r w:rsidRPr="00B0464A">
              <w:t xml:space="preserve">Fiscal year </w:t>
            </w:r>
            <w:r w:rsidR="004C6ABD">
              <w:t>October 1</w:t>
            </w:r>
            <w:r w:rsidR="004C6ABD" w:rsidRPr="008B558F">
              <w:rPr>
                <w:vertAlign w:val="superscript"/>
              </w:rPr>
              <w:t>st</w:t>
            </w:r>
            <w:r w:rsidR="004C6ABD">
              <w:t xml:space="preserve"> to September 30</w:t>
            </w:r>
            <w:r w:rsidR="004C6ABD" w:rsidRPr="008B558F">
              <w:rPr>
                <w:vertAlign w:val="superscript"/>
              </w:rPr>
              <w:t>th</w:t>
            </w:r>
            <w:r w:rsidR="004C6ABD" w:rsidRPr="00B0464A">
              <w:t xml:space="preserve"> </w:t>
            </w:r>
            <w:r w:rsidRPr="00B0464A">
              <w:t>opening &amp; closing balances all accounts</w:t>
            </w:r>
          </w:p>
          <w:p w14:paraId="7467C9EF" w14:textId="77777777" w:rsidR="0071233E" w:rsidRPr="00B0464A" w:rsidRDefault="0071233E" w:rsidP="0071233E">
            <w:pPr>
              <w:spacing w:before="40" w:after="40"/>
            </w:pPr>
            <w:r w:rsidRPr="00B0464A">
              <w:t xml:space="preserve">Fiscal year Balance </w:t>
            </w:r>
            <w:r>
              <w:t>S</w:t>
            </w:r>
            <w:r w:rsidRPr="00B0464A">
              <w:t>heet and Income &amp; Expenditure</w:t>
            </w:r>
            <w:r>
              <w:t xml:space="preserve"> reports</w:t>
            </w:r>
          </w:p>
          <w:p w14:paraId="4CBAC4DE" w14:textId="77777777" w:rsidR="0071233E" w:rsidRPr="00B0464A" w:rsidRDefault="0071233E" w:rsidP="0071233E">
            <w:pPr>
              <w:spacing w:before="40" w:after="40"/>
            </w:pPr>
            <w:r w:rsidRPr="00B0464A">
              <w:t>Report against budget</w:t>
            </w:r>
          </w:p>
        </w:tc>
      </w:tr>
      <w:tr w:rsidR="0071233E" w14:paraId="40F695C5" w14:textId="77777777" w:rsidTr="018F3364">
        <w:tc>
          <w:tcPr>
            <w:tcW w:w="1838" w:type="dxa"/>
            <w:vMerge/>
            <w:vAlign w:val="center"/>
          </w:tcPr>
          <w:p w14:paraId="31CBCA27" w14:textId="77777777" w:rsidR="0071233E" w:rsidRDefault="0071233E" w:rsidP="0071233E">
            <w:pPr>
              <w:spacing w:before="40" w:after="40"/>
            </w:pPr>
          </w:p>
        </w:tc>
        <w:tc>
          <w:tcPr>
            <w:tcW w:w="1559" w:type="dxa"/>
            <w:vAlign w:val="center"/>
          </w:tcPr>
          <w:p w14:paraId="7254DE16" w14:textId="77777777" w:rsidR="0071233E" w:rsidRDefault="0071233E" w:rsidP="0071233E">
            <w:pPr>
              <w:spacing w:before="40" w:after="40"/>
            </w:pPr>
            <w:r>
              <w:t>January</w:t>
            </w:r>
          </w:p>
          <w:p w14:paraId="7216F715" w14:textId="3CD8EC93" w:rsidR="004C6ABD" w:rsidRDefault="004C6ABD" w:rsidP="0071233E">
            <w:pPr>
              <w:spacing w:before="40" w:after="40"/>
            </w:pPr>
            <w:r>
              <w:lastRenderedPageBreak/>
              <w:t>February</w:t>
            </w:r>
          </w:p>
        </w:tc>
        <w:tc>
          <w:tcPr>
            <w:tcW w:w="1560" w:type="dxa"/>
            <w:vAlign w:val="center"/>
          </w:tcPr>
          <w:p w14:paraId="7611D451" w14:textId="77777777" w:rsidR="0071233E" w:rsidRDefault="0071233E" w:rsidP="0071233E">
            <w:pPr>
              <w:spacing w:before="40" w:after="40"/>
            </w:pPr>
            <w:r>
              <w:lastRenderedPageBreak/>
              <w:t>RM Clerk</w:t>
            </w:r>
          </w:p>
        </w:tc>
        <w:tc>
          <w:tcPr>
            <w:tcW w:w="9072" w:type="dxa"/>
            <w:vAlign w:val="center"/>
          </w:tcPr>
          <w:p w14:paraId="250B12A6" w14:textId="77777777" w:rsidR="0071233E" w:rsidRDefault="0071233E" w:rsidP="0071233E">
            <w:pPr>
              <w:spacing w:before="40" w:after="40"/>
            </w:pPr>
            <w:r>
              <w:t>Summary of LM reports plus the RM Treasurer’s report (as above)</w:t>
            </w:r>
          </w:p>
          <w:p w14:paraId="34D74173" w14:textId="4A5EBA93" w:rsidR="0071233E" w:rsidRDefault="0071233E" w:rsidP="004C6ABD">
            <w:pPr>
              <w:spacing w:before="40" w:after="40"/>
            </w:pPr>
            <w:r>
              <w:lastRenderedPageBreak/>
              <w:t xml:space="preserve">Submit to AYM Secretary </w:t>
            </w:r>
            <w:r w:rsidR="004C6ABD">
              <w:t xml:space="preserve">after RM approval </w:t>
            </w:r>
            <w:r>
              <w:t xml:space="preserve">in </w:t>
            </w:r>
            <w:r w:rsidR="004C6ABD">
              <w:t xml:space="preserve">February </w:t>
            </w:r>
            <w:r>
              <w:t>with a copy retained indefinitely</w:t>
            </w:r>
          </w:p>
        </w:tc>
      </w:tr>
      <w:tr w:rsidR="0071233E" w14:paraId="7D325390" w14:textId="77777777" w:rsidTr="018F3364">
        <w:trPr>
          <w:trHeight w:val="1408"/>
        </w:trPr>
        <w:tc>
          <w:tcPr>
            <w:tcW w:w="1838" w:type="dxa"/>
            <w:vAlign w:val="center"/>
          </w:tcPr>
          <w:p w14:paraId="4EDC7ADC" w14:textId="63A52AB8" w:rsidR="0071233E" w:rsidRDefault="0071233E" w:rsidP="0071233E">
            <w:pPr>
              <w:spacing w:before="40" w:after="40"/>
            </w:pPr>
            <w:r>
              <w:lastRenderedPageBreak/>
              <w:t xml:space="preserve">ACNC Annual Report </w:t>
            </w:r>
          </w:p>
          <w:p w14:paraId="7B623105" w14:textId="77777777" w:rsidR="0071233E" w:rsidRDefault="0071233E" w:rsidP="0071233E">
            <w:pPr>
              <w:spacing w:before="40" w:after="40"/>
            </w:pPr>
            <w:r w:rsidRPr="006F7638">
              <w:rPr>
                <w:i/>
                <w:sz w:val="18"/>
              </w:rPr>
              <w:t>(if the meeting is ACNC-registered)</w:t>
            </w:r>
          </w:p>
        </w:tc>
        <w:tc>
          <w:tcPr>
            <w:tcW w:w="1559" w:type="dxa"/>
            <w:vAlign w:val="center"/>
          </w:tcPr>
          <w:p w14:paraId="00FF8AA0" w14:textId="2FAABB2F" w:rsidR="0071233E" w:rsidRDefault="004C6ABD" w:rsidP="0071233E">
            <w:pPr>
              <w:spacing w:before="40" w:after="40"/>
            </w:pPr>
            <w:r>
              <w:t>February</w:t>
            </w:r>
          </w:p>
        </w:tc>
        <w:tc>
          <w:tcPr>
            <w:tcW w:w="1560" w:type="dxa"/>
            <w:vAlign w:val="center"/>
          </w:tcPr>
          <w:p w14:paraId="6675CEB3" w14:textId="77777777" w:rsidR="0071233E" w:rsidRDefault="0071233E" w:rsidP="0071233E">
            <w:pPr>
              <w:spacing w:before="40" w:after="40"/>
            </w:pPr>
            <w:r>
              <w:t>Clerk of the ACNC-registered meeting</w:t>
            </w:r>
          </w:p>
        </w:tc>
        <w:tc>
          <w:tcPr>
            <w:tcW w:w="9072" w:type="dxa"/>
            <w:vAlign w:val="center"/>
          </w:tcPr>
          <w:p w14:paraId="50879A2B" w14:textId="2D5C505F" w:rsidR="0071233E" w:rsidRDefault="018F3364" w:rsidP="0071233E">
            <w:pPr>
              <w:spacing w:before="40" w:after="40"/>
            </w:pPr>
            <w:r>
              <w:t>Online report submission is due February to include Income &amp; Expense, opening / closing bank balance, and full office bearer details</w:t>
            </w:r>
          </w:p>
        </w:tc>
      </w:tr>
      <w:tr w:rsidR="0068699E" w14:paraId="0D8F05D5" w14:textId="77777777" w:rsidTr="018F3364">
        <w:trPr>
          <w:trHeight w:val="1414"/>
        </w:trPr>
        <w:tc>
          <w:tcPr>
            <w:tcW w:w="1838" w:type="dxa"/>
            <w:vMerge w:val="restart"/>
            <w:vAlign w:val="center"/>
          </w:tcPr>
          <w:p w14:paraId="704D91EF" w14:textId="77777777" w:rsidR="0068699E" w:rsidRDefault="0068699E" w:rsidP="0071233E">
            <w:pPr>
              <w:spacing w:before="40" w:after="40"/>
            </w:pPr>
            <w:r>
              <w:t xml:space="preserve">NSW Fair Trading Annual report </w:t>
            </w:r>
          </w:p>
          <w:p w14:paraId="11DDDD90" w14:textId="6AE47BB4" w:rsidR="0068699E" w:rsidRDefault="0068699E" w:rsidP="0071233E">
            <w:pPr>
              <w:spacing w:before="40" w:after="40"/>
            </w:pPr>
            <w:r w:rsidRPr="006F7638">
              <w:rPr>
                <w:i/>
                <w:sz w:val="18"/>
              </w:rPr>
              <w:t>(if the meeting is Incorporated)</w:t>
            </w:r>
          </w:p>
        </w:tc>
        <w:tc>
          <w:tcPr>
            <w:tcW w:w="1559" w:type="dxa"/>
            <w:vMerge w:val="restart"/>
            <w:vAlign w:val="center"/>
          </w:tcPr>
          <w:p w14:paraId="30195095" w14:textId="77777777" w:rsidR="0068699E" w:rsidRDefault="0068699E" w:rsidP="005B1BFC">
            <w:pPr>
              <w:spacing w:before="40" w:after="40"/>
            </w:pPr>
            <w:r>
              <w:t>Anniversary of Date of Incorporation (NSWRM is February)</w:t>
            </w:r>
          </w:p>
          <w:p w14:paraId="46056A37" w14:textId="43DBC946" w:rsidR="0068699E" w:rsidRDefault="0068699E" w:rsidP="0071233E">
            <w:pPr>
              <w:spacing w:before="40" w:after="40"/>
            </w:pPr>
          </w:p>
        </w:tc>
        <w:tc>
          <w:tcPr>
            <w:tcW w:w="1560" w:type="dxa"/>
            <w:vAlign w:val="center"/>
          </w:tcPr>
          <w:p w14:paraId="58C89B18" w14:textId="77777777" w:rsidR="0068699E" w:rsidRDefault="0068699E" w:rsidP="005B1BFC">
            <w:pPr>
              <w:spacing w:before="40" w:after="40"/>
            </w:pPr>
            <w:r>
              <w:t>RM Clerk</w:t>
            </w:r>
          </w:p>
        </w:tc>
        <w:tc>
          <w:tcPr>
            <w:tcW w:w="9072" w:type="dxa"/>
            <w:vAlign w:val="center"/>
          </w:tcPr>
          <w:p w14:paraId="1B7E31DD" w14:textId="77777777" w:rsidR="0068699E" w:rsidRDefault="0068699E" w:rsidP="005B1BFC">
            <w:pPr>
              <w:spacing w:before="40" w:after="40"/>
            </w:pPr>
            <w:r>
              <w:t>AGM</w:t>
            </w:r>
          </w:p>
          <w:p w14:paraId="22F2BCC4" w14:textId="08721437" w:rsidR="0068699E" w:rsidRDefault="0068699E" w:rsidP="0068699E">
            <w:pPr>
              <w:pStyle w:val="ListParagraph"/>
              <w:numPr>
                <w:ilvl w:val="0"/>
                <w:numId w:val="12"/>
              </w:numPr>
              <w:spacing w:before="40" w:after="40"/>
            </w:pPr>
            <w:r>
              <w:t>Must confirm the minutes of the last year’s AGM and must submit to the AGM:</w:t>
            </w:r>
          </w:p>
          <w:p w14:paraId="554064E6" w14:textId="77777777" w:rsidR="0068699E" w:rsidRDefault="018F3364" w:rsidP="018F3364">
            <w:pPr>
              <w:pStyle w:val="ListParagraph"/>
              <w:numPr>
                <w:ilvl w:val="1"/>
                <w:numId w:val="7"/>
              </w:numPr>
              <w:spacing w:before="40" w:after="40"/>
            </w:pPr>
            <w:r>
              <w:t>Audited financial reports for the previous fiscal year</w:t>
            </w:r>
          </w:p>
          <w:p w14:paraId="226BA027" w14:textId="77777777" w:rsidR="0068699E" w:rsidRDefault="018F3364" w:rsidP="018F3364">
            <w:pPr>
              <w:pStyle w:val="ListParagraph"/>
              <w:numPr>
                <w:ilvl w:val="1"/>
                <w:numId w:val="7"/>
              </w:numPr>
              <w:spacing w:before="40" w:after="40"/>
            </w:pPr>
            <w:r>
              <w:t>RM annual report</w:t>
            </w:r>
          </w:p>
          <w:p w14:paraId="15EBAE6B" w14:textId="77777777" w:rsidR="0068699E" w:rsidRDefault="018F3364" w:rsidP="018F3364">
            <w:pPr>
              <w:pStyle w:val="ListParagraph"/>
              <w:numPr>
                <w:ilvl w:val="1"/>
                <w:numId w:val="7"/>
              </w:numPr>
              <w:spacing w:before="40" w:after="40"/>
            </w:pPr>
            <w:r>
              <w:t>Statement of office-holders</w:t>
            </w:r>
          </w:p>
        </w:tc>
      </w:tr>
      <w:tr w:rsidR="0068699E" w14:paraId="09832DB5" w14:textId="77777777" w:rsidTr="018F3364">
        <w:trPr>
          <w:trHeight w:val="1414"/>
        </w:trPr>
        <w:tc>
          <w:tcPr>
            <w:tcW w:w="1838" w:type="dxa"/>
            <w:vMerge/>
            <w:vAlign w:val="center"/>
          </w:tcPr>
          <w:p w14:paraId="75D4F257" w14:textId="159E2DBE" w:rsidR="0068699E" w:rsidRDefault="0068699E" w:rsidP="0071233E">
            <w:pPr>
              <w:spacing w:before="40" w:after="40"/>
            </w:pPr>
          </w:p>
        </w:tc>
        <w:tc>
          <w:tcPr>
            <w:tcW w:w="1559" w:type="dxa"/>
            <w:vMerge/>
            <w:vAlign w:val="center"/>
          </w:tcPr>
          <w:p w14:paraId="0561EA98" w14:textId="1C70D7F3" w:rsidR="0068699E" w:rsidRDefault="0068699E" w:rsidP="0071233E">
            <w:pPr>
              <w:spacing w:before="40" w:after="40"/>
            </w:pPr>
          </w:p>
        </w:tc>
        <w:tc>
          <w:tcPr>
            <w:tcW w:w="1560" w:type="dxa"/>
            <w:vAlign w:val="center"/>
          </w:tcPr>
          <w:p w14:paraId="18718DC8" w14:textId="77777777" w:rsidR="0068699E" w:rsidRDefault="0068699E" w:rsidP="0071233E">
            <w:pPr>
              <w:spacing w:before="40" w:after="40"/>
            </w:pPr>
            <w:r>
              <w:t>Clerk of the Incorporated meeting</w:t>
            </w:r>
          </w:p>
        </w:tc>
        <w:tc>
          <w:tcPr>
            <w:tcW w:w="9072" w:type="dxa"/>
            <w:vAlign w:val="center"/>
          </w:tcPr>
          <w:p w14:paraId="5758ECD9" w14:textId="77777777" w:rsidR="0068699E" w:rsidRDefault="0068699E" w:rsidP="0071233E">
            <w:pPr>
              <w:spacing w:before="40" w:after="40"/>
            </w:pPr>
            <w:r>
              <w:t>If Incorporated but not registered with ACNC the meeting must complete form A12 with NSW Fair Trading which includes: date incorporated; AGM date; Association details. There is a fee ($46 in 2018). A late penalty applies if not submitted on time ($82 in 2018)</w:t>
            </w:r>
          </w:p>
        </w:tc>
      </w:tr>
      <w:tr w:rsidR="0068699E" w14:paraId="098482DF" w14:textId="77777777" w:rsidTr="018F3364">
        <w:trPr>
          <w:trHeight w:val="1263"/>
        </w:trPr>
        <w:tc>
          <w:tcPr>
            <w:tcW w:w="1838" w:type="dxa"/>
            <w:vMerge w:val="restart"/>
            <w:vAlign w:val="center"/>
          </w:tcPr>
          <w:p w14:paraId="516A238A" w14:textId="77777777" w:rsidR="0068699E" w:rsidRDefault="0068699E" w:rsidP="0068699E">
            <w:pPr>
              <w:spacing w:before="40" w:after="40"/>
            </w:pPr>
            <w:r>
              <w:t>Change of office holders</w:t>
            </w:r>
          </w:p>
        </w:tc>
        <w:tc>
          <w:tcPr>
            <w:tcW w:w="1559" w:type="dxa"/>
            <w:vMerge w:val="restart"/>
            <w:vAlign w:val="center"/>
          </w:tcPr>
          <w:p w14:paraId="6FE257D8" w14:textId="77777777" w:rsidR="0068699E" w:rsidRDefault="0068699E" w:rsidP="0068699E">
            <w:pPr>
              <w:spacing w:before="40" w:after="40"/>
            </w:pPr>
            <w:r>
              <w:t>Immediately on change</w:t>
            </w:r>
          </w:p>
        </w:tc>
        <w:tc>
          <w:tcPr>
            <w:tcW w:w="1560" w:type="dxa"/>
            <w:vAlign w:val="center"/>
          </w:tcPr>
          <w:p w14:paraId="5950FD31" w14:textId="77777777" w:rsidR="0068699E" w:rsidRDefault="0068699E" w:rsidP="0068699E">
            <w:pPr>
              <w:spacing w:before="40" w:after="40"/>
            </w:pPr>
            <w:r>
              <w:t>LM Clerk</w:t>
            </w:r>
          </w:p>
        </w:tc>
        <w:tc>
          <w:tcPr>
            <w:tcW w:w="9072" w:type="dxa"/>
            <w:vAlign w:val="center"/>
          </w:tcPr>
          <w:p w14:paraId="130E273B" w14:textId="77777777" w:rsidR="0068699E" w:rsidRPr="00003ACC" w:rsidRDefault="0068699E" w:rsidP="0068699E">
            <w:pPr>
              <w:spacing w:before="40" w:after="40"/>
              <w:rPr>
                <w:rFonts w:cstheme="minorHAnsi"/>
              </w:rPr>
            </w:pPr>
            <w:r w:rsidRPr="00003ACC">
              <w:rPr>
                <w:rFonts w:cstheme="minorHAnsi"/>
              </w:rPr>
              <w:t>Notify the LM ACNC Public Officer (if registered) and RM Clerk immediately on changing</w:t>
            </w:r>
          </w:p>
          <w:p w14:paraId="2103C187" w14:textId="77777777" w:rsidR="0068699E" w:rsidRPr="00003ACC" w:rsidRDefault="0068699E" w:rsidP="0068699E">
            <w:pPr>
              <w:spacing w:before="40" w:after="40"/>
              <w:rPr>
                <w:rFonts w:cstheme="minorHAnsi"/>
              </w:rPr>
            </w:pPr>
            <w:r w:rsidRPr="00003ACC">
              <w:rPr>
                <w:rFonts w:cstheme="minorHAnsi"/>
              </w:rPr>
              <w:t>Notify relevant banking institutions</w:t>
            </w:r>
          </w:p>
          <w:p w14:paraId="28240946" w14:textId="77777777" w:rsidR="0068699E" w:rsidRPr="00003ACC" w:rsidRDefault="0068699E" w:rsidP="0068699E">
            <w:pPr>
              <w:spacing w:before="40" w:after="40"/>
              <w:rPr>
                <w:rFonts w:cstheme="minorHAnsi"/>
              </w:rPr>
            </w:pPr>
            <w:r w:rsidRPr="00003ACC">
              <w:rPr>
                <w:rFonts w:cstheme="minorHAnsi"/>
              </w:rPr>
              <w:t>Notify neighbours of the Meeting House in case of emergency</w:t>
            </w:r>
          </w:p>
        </w:tc>
      </w:tr>
      <w:tr w:rsidR="0068699E" w14:paraId="57C84D48" w14:textId="77777777" w:rsidTr="018F3364">
        <w:trPr>
          <w:trHeight w:val="1125"/>
        </w:trPr>
        <w:tc>
          <w:tcPr>
            <w:tcW w:w="1838" w:type="dxa"/>
            <w:vMerge/>
            <w:vAlign w:val="center"/>
          </w:tcPr>
          <w:p w14:paraId="3B9D6095" w14:textId="77777777" w:rsidR="0068699E" w:rsidRDefault="0068699E" w:rsidP="0068699E">
            <w:pPr>
              <w:spacing w:before="40" w:after="40"/>
            </w:pPr>
          </w:p>
        </w:tc>
        <w:tc>
          <w:tcPr>
            <w:tcW w:w="1559" w:type="dxa"/>
            <w:vMerge/>
            <w:vAlign w:val="center"/>
          </w:tcPr>
          <w:p w14:paraId="1F8EF71E" w14:textId="77777777" w:rsidR="0068699E" w:rsidRDefault="0068699E" w:rsidP="0068699E">
            <w:pPr>
              <w:spacing w:before="40" w:after="40"/>
            </w:pPr>
          </w:p>
        </w:tc>
        <w:tc>
          <w:tcPr>
            <w:tcW w:w="1560" w:type="dxa"/>
            <w:vAlign w:val="center"/>
          </w:tcPr>
          <w:p w14:paraId="4AAAFC36" w14:textId="77777777" w:rsidR="0068699E" w:rsidRDefault="0068699E" w:rsidP="0068699E">
            <w:pPr>
              <w:spacing w:before="40" w:after="40"/>
            </w:pPr>
            <w:r>
              <w:t>RM Clerk</w:t>
            </w:r>
          </w:p>
        </w:tc>
        <w:tc>
          <w:tcPr>
            <w:tcW w:w="9072" w:type="dxa"/>
            <w:vAlign w:val="center"/>
          </w:tcPr>
          <w:p w14:paraId="1C9A73F1" w14:textId="623DDB58" w:rsidR="0068699E" w:rsidRDefault="0068699E" w:rsidP="0068699E">
            <w:pPr>
              <w:spacing w:before="40" w:after="40"/>
              <w:rPr>
                <w:rFonts w:cstheme="minorHAnsi"/>
              </w:rPr>
            </w:pPr>
            <w:r w:rsidRPr="00003ACC">
              <w:rPr>
                <w:rFonts w:cstheme="minorHAnsi"/>
              </w:rPr>
              <w:t xml:space="preserve">Notify </w:t>
            </w:r>
            <w:r>
              <w:rPr>
                <w:rFonts w:cstheme="minorHAnsi"/>
              </w:rPr>
              <w:t>t</w:t>
            </w:r>
            <w:r w:rsidRPr="00003ACC">
              <w:rPr>
                <w:rFonts w:cstheme="minorHAnsi"/>
              </w:rPr>
              <w:t xml:space="preserve">he AYM Secretary and RM Public </w:t>
            </w:r>
            <w:r>
              <w:rPr>
                <w:rFonts w:cstheme="minorHAnsi"/>
              </w:rPr>
              <w:t>O</w:t>
            </w:r>
            <w:r w:rsidRPr="00003ACC">
              <w:rPr>
                <w:rFonts w:cstheme="minorHAnsi"/>
              </w:rPr>
              <w:t>fficer immediately on changing</w:t>
            </w:r>
          </w:p>
          <w:p w14:paraId="6C5EB399" w14:textId="77777777" w:rsidR="0068699E" w:rsidRDefault="0068699E" w:rsidP="0068699E">
            <w:pPr>
              <w:spacing w:before="40" w:after="40"/>
              <w:rPr>
                <w:rFonts w:cstheme="minorHAnsi"/>
              </w:rPr>
            </w:pPr>
            <w:r w:rsidRPr="00003ACC">
              <w:rPr>
                <w:rFonts w:cstheme="minorHAnsi"/>
              </w:rPr>
              <w:t>Inform the AYM Secretary of any changes to who needs access to the Meeting’s emails via generic email address</w:t>
            </w:r>
          </w:p>
          <w:p w14:paraId="6071FC5B" w14:textId="5BA5D9BE" w:rsidR="0068699E" w:rsidRPr="00003ACC" w:rsidRDefault="018F3364" w:rsidP="018F3364">
            <w:pPr>
              <w:spacing w:before="40" w:after="40"/>
              <w:rPr>
                <w:b/>
                <w:bCs/>
              </w:rPr>
            </w:pPr>
            <w:r w:rsidRPr="018F3364">
              <w:t>Notify Australian Charities and Not-for-profits Commission (ACNC) or ask Public Officer to do this.</w:t>
            </w:r>
          </w:p>
          <w:p w14:paraId="081CE6A0" w14:textId="649C18E5" w:rsidR="0068699E" w:rsidRPr="00003ACC" w:rsidRDefault="0068699E" w:rsidP="018F3364">
            <w:pPr>
              <w:spacing w:before="40" w:after="40"/>
            </w:pPr>
          </w:p>
        </w:tc>
      </w:tr>
      <w:tr w:rsidR="0068699E" w14:paraId="7D390C02" w14:textId="77777777" w:rsidTr="018F3364">
        <w:trPr>
          <w:trHeight w:val="1157"/>
        </w:trPr>
        <w:tc>
          <w:tcPr>
            <w:tcW w:w="1838" w:type="dxa"/>
            <w:vAlign w:val="center"/>
          </w:tcPr>
          <w:p w14:paraId="3B2A44BC" w14:textId="77777777" w:rsidR="0068699E" w:rsidRDefault="0068699E" w:rsidP="0068699E">
            <w:pPr>
              <w:spacing w:before="40" w:after="40"/>
            </w:pPr>
            <w:r>
              <w:t>Fundraising</w:t>
            </w:r>
          </w:p>
        </w:tc>
        <w:tc>
          <w:tcPr>
            <w:tcW w:w="1559" w:type="dxa"/>
            <w:vAlign w:val="center"/>
          </w:tcPr>
          <w:p w14:paraId="5F9BA5FB" w14:textId="77777777" w:rsidR="0068699E" w:rsidRDefault="0068699E" w:rsidP="0068699E">
            <w:pPr>
              <w:spacing w:before="40" w:after="40"/>
            </w:pPr>
            <w:r>
              <w:t>Ongoing</w:t>
            </w:r>
          </w:p>
        </w:tc>
        <w:tc>
          <w:tcPr>
            <w:tcW w:w="1560" w:type="dxa"/>
            <w:vAlign w:val="center"/>
          </w:tcPr>
          <w:p w14:paraId="713B652C" w14:textId="77777777" w:rsidR="0068699E" w:rsidRDefault="0068699E" w:rsidP="0068699E">
            <w:pPr>
              <w:spacing w:before="40" w:after="40"/>
            </w:pPr>
            <w:r>
              <w:t>Fundraising Event Organiser</w:t>
            </w:r>
          </w:p>
        </w:tc>
        <w:tc>
          <w:tcPr>
            <w:tcW w:w="9072" w:type="dxa"/>
            <w:vAlign w:val="center"/>
          </w:tcPr>
          <w:p w14:paraId="0EA544C5" w14:textId="77777777" w:rsidR="0068699E" w:rsidRDefault="0068699E" w:rsidP="0068699E">
            <w:pPr>
              <w:spacing w:before="40" w:after="40"/>
            </w:pPr>
            <w:r>
              <w:t>No license is required but DA may be needed for markets depending on the Local Council.</w:t>
            </w:r>
          </w:p>
          <w:p w14:paraId="754BEFBD" w14:textId="3E7904EA" w:rsidR="0068699E" w:rsidRDefault="018F3364" w:rsidP="0068699E">
            <w:pPr>
              <w:spacing w:before="40" w:after="40"/>
            </w:pPr>
            <w:r>
              <w:t>Total expenses may not exceed 40% of the proceeds.</w:t>
            </w:r>
          </w:p>
        </w:tc>
      </w:tr>
      <w:tr w:rsidR="0068699E" w14:paraId="06568286" w14:textId="77777777" w:rsidTr="018F3364">
        <w:trPr>
          <w:trHeight w:val="1401"/>
        </w:trPr>
        <w:tc>
          <w:tcPr>
            <w:tcW w:w="1838" w:type="dxa"/>
            <w:vAlign w:val="center"/>
          </w:tcPr>
          <w:p w14:paraId="5FBFE91C" w14:textId="77777777" w:rsidR="0068699E" w:rsidRDefault="0068699E" w:rsidP="0068699E">
            <w:pPr>
              <w:spacing w:before="40" w:after="40"/>
            </w:pPr>
            <w:r>
              <w:lastRenderedPageBreak/>
              <w:t>Legal Marriages</w:t>
            </w:r>
          </w:p>
        </w:tc>
        <w:tc>
          <w:tcPr>
            <w:tcW w:w="1559" w:type="dxa"/>
            <w:vAlign w:val="center"/>
          </w:tcPr>
          <w:p w14:paraId="605ECD1B" w14:textId="77777777" w:rsidR="0068699E" w:rsidRDefault="0068699E" w:rsidP="0068699E">
            <w:pPr>
              <w:spacing w:before="40" w:after="40"/>
            </w:pPr>
            <w:r>
              <w:t>As required</w:t>
            </w:r>
          </w:p>
        </w:tc>
        <w:tc>
          <w:tcPr>
            <w:tcW w:w="1560" w:type="dxa"/>
            <w:vAlign w:val="center"/>
          </w:tcPr>
          <w:p w14:paraId="2FEF8144" w14:textId="77777777" w:rsidR="0068699E" w:rsidRDefault="0068699E" w:rsidP="0068699E">
            <w:pPr>
              <w:spacing w:before="40" w:after="40"/>
            </w:pPr>
            <w:r>
              <w:t>Registering Officer</w:t>
            </w:r>
          </w:p>
        </w:tc>
        <w:tc>
          <w:tcPr>
            <w:tcW w:w="9072" w:type="dxa"/>
            <w:vAlign w:val="center"/>
          </w:tcPr>
          <w:p w14:paraId="123EDC3B" w14:textId="77777777" w:rsidR="0068699E" w:rsidRDefault="0068699E" w:rsidP="0068699E">
            <w:pPr>
              <w:spacing w:before="40" w:after="40"/>
            </w:pPr>
            <w:r>
              <w:t>Become registered with NSW after being appointed by NSW RM as Registering Officer</w:t>
            </w:r>
          </w:p>
          <w:p w14:paraId="109384B3" w14:textId="6B68F520" w:rsidR="0068699E" w:rsidRDefault="0068699E" w:rsidP="0068699E">
            <w:pPr>
              <w:spacing w:before="40" w:after="40"/>
            </w:pPr>
            <w:r>
              <w:t xml:space="preserve">Follow procedures according to </w:t>
            </w:r>
            <w:hyperlink r:id="rId8" w:history="1">
              <w:r w:rsidRPr="0068699E">
                <w:rPr>
                  <w:rStyle w:val="Hyperlink"/>
                </w:rPr>
                <w:t xml:space="preserve">NSW </w:t>
              </w:r>
              <w:r>
                <w:rPr>
                  <w:rStyle w:val="Hyperlink"/>
                </w:rPr>
                <w:t xml:space="preserve">Registry </w:t>
              </w:r>
              <w:r w:rsidRPr="0068699E">
                <w:rPr>
                  <w:rStyle w:val="Hyperlink"/>
                </w:rPr>
                <w:t>of Births, Deaths &amp; Marriages</w:t>
              </w:r>
            </w:hyperlink>
          </w:p>
        </w:tc>
      </w:tr>
      <w:tr w:rsidR="0071233E" w14:paraId="0871E880" w14:textId="77777777" w:rsidTr="018F3364">
        <w:tc>
          <w:tcPr>
            <w:tcW w:w="1838" w:type="dxa"/>
            <w:vMerge w:val="restart"/>
            <w:vAlign w:val="center"/>
          </w:tcPr>
          <w:p w14:paraId="3A49B619" w14:textId="77777777" w:rsidR="0071233E" w:rsidRDefault="0071233E" w:rsidP="0071233E">
            <w:pPr>
              <w:spacing w:before="40" w:after="40"/>
            </w:pPr>
            <w:r>
              <w:br w:type="page"/>
              <w:t>Child Protection</w:t>
            </w:r>
          </w:p>
        </w:tc>
        <w:tc>
          <w:tcPr>
            <w:tcW w:w="1559" w:type="dxa"/>
            <w:vAlign w:val="center"/>
          </w:tcPr>
          <w:p w14:paraId="38DBA8FC" w14:textId="77777777" w:rsidR="0071233E" w:rsidRDefault="0071233E" w:rsidP="0071233E">
            <w:pPr>
              <w:spacing w:before="40" w:after="40"/>
            </w:pPr>
            <w:r>
              <w:t>Ongoing</w:t>
            </w:r>
          </w:p>
        </w:tc>
        <w:tc>
          <w:tcPr>
            <w:tcW w:w="1560" w:type="dxa"/>
            <w:vAlign w:val="center"/>
          </w:tcPr>
          <w:p w14:paraId="5DEEA576" w14:textId="23287157" w:rsidR="0071233E" w:rsidRDefault="0071233E" w:rsidP="0071233E">
            <w:pPr>
              <w:spacing w:before="40" w:after="40"/>
            </w:pPr>
            <w:r>
              <w:t>LM clerk with support of M&amp;C</w:t>
            </w:r>
            <w:r w:rsidR="004C6ABD">
              <w:t xml:space="preserve"> and Child Protection Contact Friends</w:t>
            </w:r>
          </w:p>
        </w:tc>
        <w:tc>
          <w:tcPr>
            <w:tcW w:w="9072" w:type="dxa"/>
            <w:vAlign w:val="center"/>
          </w:tcPr>
          <w:p w14:paraId="274E7882" w14:textId="058FE203" w:rsidR="0071233E" w:rsidRDefault="018F3364" w:rsidP="0071233E">
            <w:pPr>
              <w:spacing w:before="40" w:after="40"/>
            </w:pPr>
            <w:r>
              <w:t xml:space="preserve">Ensure ‘Working with Children Check’ is completed (record the approval number &amp; expiration date) for all adults who supervise minors &lt;18 years </w:t>
            </w:r>
            <w:proofErr w:type="gramStart"/>
            <w:r>
              <w:t>old;  follow</w:t>
            </w:r>
            <w:proofErr w:type="gramEnd"/>
            <w:r>
              <w:t xml:space="preserve"> AYM policy on child protection for any issues or suspicions raised;  mandatory reporting to police of all instances of abuse;  detailed records kept confidential;  notify RM clerk</w:t>
            </w:r>
          </w:p>
        </w:tc>
      </w:tr>
      <w:tr w:rsidR="0071233E" w14:paraId="0B1D03EB" w14:textId="77777777" w:rsidTr="018F3364">
        <w:tc>
          <w:tcPr>
            <w:tcW w:w="1838" w:type="dxa"/>
            <w:vMerge/>
            <w:vAlign w:val="center"/>
          </w:tcPr>
          <w:p w14:paraId="14F11EBD" w14:textId="77777777" w:rsidR="0071233E" w:rsidRDefault="0071233E" w:rsidP="0071233E">
            <w:pPr>
              <w:spacing w:before="40" w:after="40"/>
            </w:pPr>
          </w:p>
        </w:tc>
        <w:tc>
          <w:tcPr>
            <w:tcW w:w="1559" w:type="dxa"/>
            <w:vAlign w:val="center"/>
          </w:tcPr>
          <w:p w14:paraId="013500E5" w14:textId="77777777" w:rsidR="0071233E" w:rsidRDefault="0071233E" w:rsidP="0071233E">
            <w:pPr>
              <w:spacing w:before="40" w:after="40"/>
            </w:pPr>
            <w:r>
              <w:t>Annually</w:t>
            </w:r>
          </w:p>
        </w:tc>
        <w:tc>
          <w:tcPr>
            <w:tcW w:w="1560" w:type="dxa"/>
            <w:vAlign w:val="center"/>
          </w:tcPr>
          <w:p w14:paraId="69700890" w14:textId="3490B261" w:rsidR="0071233E" w:rsidRDefault="004C6ABD" w:rsidP="0071233E">
            <w:pPr>
              <w:spacing w:before="40" w:after="40"/>
            </w:pPr>
            <w:r>
              <w:t>Child Protection Contact Friends</w:t>
            </w:r>
          </w:p>
        </w:tc>
        <w:tc>
          <w:tcPr>
            <w:tcW w:w="9072" w:type="dxa"/>
            <w:vAlign w:val="center"/>
          </w:tcPr>
          <w:p w14:paraId="0A055F13" w14:textId="655766F9" w:rsidR="0071233E" w:rsidRDefault="018F3364" w:rsidP="0071233E">
            <w:pPr>
              <w:spacing w:before="40" w:after="40"/>
            </w:pPr>
            <w:r>
              <w:t xml:space="preserve">List events involving </w:t>
            </w:r>
            <w:proofErr w:type="gramStart"/>
            <w:r>
              <w:t>children;  record</w:t>
            </w:r>
            <w:proofErr w:type="gramEnd"/>
            <w:r>
              <w:t xml:space="preserve"> incidents by date / when AYM Secretary was notified / when insurer was notified.</w:t>
            </w:r>
          </w:p>
        </w:tc>
      </w:tr>
      <w:tr w:rsidR="0071233E" w14:paraId="6042D55E" w14:textId="77777777" w:rsidTr="018F3364">
        <w:tc>
          <w:tcPr>
            <w:tcW w:w="1838" w:type="dxa"/>
            <w:vAlign w:val="center"/>
          </w:tcPr>
          <w:p w14:paraId="1EF1CEA1" w14:textId="2DFCCE23" w:rsidR="0071233E" w:rsidRDefault="0071233E" w:rsidP="0071233E">
            <w:pPr>
              <w:spacing w:before="40" w:after="40"/>
            </w:pPr>
            <w:r>
              <w:t>Grievances &amp; Conflict</w:t>
            </w:r>
          </w:p>
        </w:tc>
        <w:tc>
          <w:tcPr>
            <w:tcW w:w="1559" w:type="dxa"/>
            <w:vAlign w:val="center"/>
          </w:tcPr>
          <w:p w14:paraId="3D90C52A" w14:textId="77777777" w:rsidR="0071233E" w:rsidRDefault="0071233E" w:rsidP="0071233E">
            <w:pPr>
              <w:spacing w:before="40" w:after="40"/>
            </w:pPr>
            <w:r>
              <w:t>As required</w:t>
            </w:r>
          </w:p>
        </w:tc>
        <w:tc>
          <w:tcPr>
            <w:tcW w:w="1560" w:type="dxa"/>
            <w:vAlign w:val="center"/>
          </w:tcPr>
          <w:p w14:paraId="75E8AB74" w14:textId="77777777" w:rsidR="0071233E" w:rsidRDefault="0071233E" w:rsidP="0071233E">
            <w:pPr>
              <w:spacing w:before="40" w:after="40"/>
            </w:pPr>
            <w:r>
              <w:t>Elders or Safe Quaker Community (SQC) contact</w:t>
            </w:r>
          </w:p>
        </w:tc>
        <w:tc>
          <w:tcPr>
            <w:tcW w:w="9072" w:type="dxa"/>
            <w:vAlign w:val="center"/>
          </w:tcPr>
          <w:p w14:paraId="7A06811D" w14:textId="5A8B90A6" w:rsidR="0071233E" w:rsidRDefault="018F3364" w:rsidP="0071233E">
            <w:pPr>
              <w:spacing w:before="40" w:after="40"/>
            </w:pPr>
            <w:r>
              <w:t xml:space="preserve">Approach individuals with sensitivity to resolve the conflict; consider a clearness committee to assist the related parties to get clear about what Spirit is asking of them in this conflict; consider using a ‘threshing session’ if </w:t>
            </w:r>
            <w:proofErr w:type="gramStart"/>
            <w:r>
              <w:t>a number of</w:t>
            </w:r>
            <w:proofErr w:type="gramEnd"/>
            <w:r>
              <w:t xml:space="preserve"> people are involved. Seek help from SQC contact as needed.</w:t>
            </w:r>
          </w:p>
          <w:p w14:paraId="7912F8DF" w14:textId="14AB6A4E" w:rsidR="0071233E" w:rsidRDefault="018F3364" w:rsidP="004C6ABD">
            <w:pPr>
              <w:spacing w:before="40" w:after="40"/>
            </w:pPr>
            <w:r>
              <w:t>Work through the AYM SQC policy &amp; procedures. See also procedures in the Handbook chap. 4.</w:t>
            </w:r>
          </w:p>
          <w:p w14:paraId="66943F07" w14:textId="4B46CC4C" w:rsidR="0071233E" w:rsidRDefault="0071233E" w:rsidP="018F3364">
            <w:pPr>
              <w:spacing w:before="40" w:after="40"/>
            </w:pPr>
          </w:p>
        </w:tc>
      </w:tr>
    </w:tbl>
    <w:p w14:paraId="27B6D83D" w14:textId="77777777" w:rsidR="00370D85" w:rsidRDefault="00370D85">
      <w:r>
        <w:br w:type="page"/>
      </w:r>
    </w:p>
    <w:tbl>
      <w:tblPr>
        <w:tblStyle w:val="TableGrid"/>
        <w:tblW w:w="14029" w:type="dxa"/>
        <w:tblLayout w:type="fixed"/>
        <w:tblLook w:val="04A0" w:firstRow="1" w:lastRow="0" w:firstColumn="1" w:lastColumn="0" w:noHBand="0" w:noVBand="1"/>
      </w:tblPr>
      <w:tblGrid>
        <w:gridCol w:w="1838"/>
        <w:gridCol w:w="1559"/>
        <w:gridCol w:w="1560"/>
        <w:gridCol w:w="8930"/>
        <w:gridCol w:w="142"/>
      </w:tblGrid>
      <w:tr w:rsidR="0071233E" w14:paraId="078BB278" w14:textId="77777777" w:rsidTr="018F3364">
        <w:trPr>
          <w:trHeight w:val="1408"/>
        </w:trPr>
        <w:tc>
          <w:tcPr>
            <w:tcW w:w="1838" w:type="dxa"/>
            <w:vMerge w:val="restart"/>
            <w:vAlign w:val="center"/>
          </w:tcPr>
          <w:p w14:paraId="05419054" w14:textId="222CB209" w:rsidR="0071233E" w:rsidRDefault="0071233E" w:rsidP="0071233E">
            <w:pPr>
              <w:spacing w:before="40" w:after="40"/>
            </w:pPr>
            <w:r>
              <w:lastRenderedPageBreak/>
              <w:br w:type="page"/>
              <w:t>Human Resources</w:t>
            </w:r>
          </w:p>
        </w:tc>
        <w:tc>
          <w:tcPr>
            <w:tcW w:w="1559" w:type="dxa"/>
            <w:vMerge w:val="restart"/>
            <w:vAlign w:val="center"/>
          </w:tcPr>
          <w:p w14:paraId="3F4AA7A1" w14:textId="46C48EF7" w:rsidR="0071233E" w:rsidRDefault="0071233E" w:rsidP="0071233E">
            <w:pPr>
              <w:spacing w:before="40" w:after="40"/>
            </w:pPr>
            <w:r>
              <w:t>Ongoing</w:t>
            </w:r>
          </w:p>
        </w:tc>
        <w:tc>
          <w:tcPr>
            <w:tcW w:w="1560" w:type="dxa"/>
            <w:vAlign w:val="center"/>
          </w:tcPr>
          <w:p w14:paraId="4713B457" w14:textId="61D11B2A" w:rsidR="004C6ABD" w:rsidRDefault="018F3364" w:rsidP="004C6ABD">
            <w:pPr>
              <w:spacing w:before="40" w:after="40"/>
            </w:pPr>
            <w:r>
              <w:t xml:space="preserve">LM / RM Clerk who employs </w:t>
            </w:r>
          </w:p>
          <w:p w14:paraId="70464116" w14:textId="15706EDF" w:rsidR="004C6ABD" w:rsidRDefault="0071233E" w:rsidP="0068699E">
            <w:pPr>
              <w:pStyle w:val="ListParagraph"/>
              <w:numPr>
                <w:ilvl w:val="0"/>
                <w:numId w:val="13"/>
              </w:numPr>
              <w:spacing w:before="40" w:after="40"/>
              <w:ind w:left="290" w:hanging="290"/>
            </w:pPr>
            <w:r>
              <w:t xml:space="preserve">workers or </w:t>
            </w:r>
          </w:p>
          <w:p w14:paraId="2E0D9F69" w14:textId="1ADDD6EA" w:rsidR="0071233E" w:rsidRDefault="0071233E" w:rsidP="0068699E">
            <w:pPr>
              <w:pStyle w:val="ListParagraph"/>
              <w:numPr>
                <w:ilvl w:val="0"/>
                <w:numId w:val="13"/>
              </w:numPr>
              <w:spacing w:before="40" w:after="40"/>
              <w:ind w:left="290" w:hanging="290"/>
            </w:pPr>
            <w:r>
              <w:t>contractors</w:t>
            </w:r>
          </w:p>
        </w:tc>
        <w:tc>
          <w:tcPr>
            <w:tcW w:w="9072" w:type="dxa"/>
            <w:gridSpan w:val="2"/>
            <w:vAlign w:val="center"/>
          </w:tcPr>
          <w:p w14:paraId="5495B409" w14:textId="46156E0D" w:rsidR="0071233E" w:rsidRDefault="0071233E" w:rsidP="0071233E">
            <w:pPr>
              <w:spacing w:before="40" w:after="40"/>
            </w:pPr>
            <w:r>
              <w:t xml:space="preserve">Follow the </w:t>
            </w:r>
            <w:commentRangeStart w:id="1"/>
            <w:r>
              <w:t xml:space="preserve">NSW RM Employment Policy </w:t>
            </w:r>
            <w:commentRangeEnd w:id="1"/>
            <w:r w:rsidR="0068699E">
              <w:rPr>
                <w:rStyle w:val="CommentReference"/>
              </w:rPr>
              <w:commentReference w:id="1"/>
            </w:r>
            <w:r>
              <w:t xml:space="preserve">guidelines. See </w:t>
            </w:r>
          </w:p>
          <w:p w14:paraId="67C5AAA3" w14:textId="70D78F15" w:rsidR="0071233E" w:rsidRDefault="018F3364" w:rsidP="018F3364">
            <w:pPr>
              <w:spacing w:before="40" w:after="40"/>
            </w:pPr>
            <w:r w:rsidRPr="018F3364">
              <w:rPr>
                <w:b/>
                <w:bCs/>
              </w:rPr>
              <w:t>Contractors</w:t>
            </w:r>
            <w:r>
              <w:t>: Ensure clear expectations &amp; costs. Collect Contractor Register info (e.g. proof of insurance, credentials. Ensure they have a safety induction. Pay according to invoices including their ABN; or cash payments only with paid receipts signed by the contractor.</w:t>
            </w:r>
          </w:p>
          <w:p w14:paraId="1668F98A" w14:textId="45154838" w:rsidR="018F3364" w:rsidRDefault="018F3364" w:rsidP="018F3364">
            <w:pPr>
              <w:spacing w:before="40" w:after="40"/>
            </w:pPr>
          </w:p>
          <w:p w14:paraId="5BA94367" w14:textId="7AD29F8B" w:rsidR="0071233E" w:rsidRDefault="018F3364" w:rsidP="0071233E">
            <w:pPr>
              <w:spacing w:before="40" w:after="40"/>
            </w:pPr>
            <w:r w:rsidRPr="018F3364">
              <w:rPr>
                <w:b/>
                <w:bCs/>
              </w:rPr>
              <w:t>Employees:</w:t>
            </w:r>
            <w:r>
              <w:t xml:space="preserve"> Ensure employees have a clear duty statement and signed contract.  Make sure it is clear who the employer is (LM or RM). Ensure they have a safety induction &amp; workplace orientation and a safe work environment. Conduct and document performance reviews in accordance with the employment contract. Ensure wages, superannuation, leave entitlements and benefits are consistent with the employment contract and are documented. All HR documentation is confidential and should be retained in a secure location.</w:t>
            </w:r>
          </w:p>
        </w:tc>
      </w:tr>
      <w:tr w:rsidR="0071233E" w14:paraId="2B69941D" w14:textId="77777777" w:rsidTr="018F3364">
        <w:trPr>
          <w:trHeight w:val="1805"/>
        </w:trPr>
        <w:tc>
          <w:tcPr>
            <w:tcW w:w="1838" w:type="dxa"/>
            <w:vMerge/>
            <w:vAlign w:val="center"/>
          </w:tcPr>
          <w:p w14:paraId="54EEB2B2" w14:textId="77777777" w:rsidR="0071233E" w:rsidRDefault="0071233E" w:rsidP="0071233E">
            <w:pPr>
              <w:spacing w:before="40" w:after="40"/>
            </w:pPr>
          </w:p>
        </w:tc>
        <w:tc>
          <w:tcPr>
            <w:tcW w:w="1559" w:type="dxa"/>
            <w:vMerge/>
            <w:vAlign w:val="center"/>
          </w:tcPr>
          <w:p w14:paraId="644A35AC" w14:textId="77777777" w:rsidR="0071233E" w:rsidRDefault="0071233E" w:rsidP="0071233E">
            <w:pPr>
              <w:spacing w:before="40" w:after="40"/>
            </w:pPr>
          </w:p>
        </w:tc>
        <w:tc>
          <w:tcPr>
            <w:tcW w:w="1560" w:type="dxa"/>
            <w:vAlign w:val="center"/>
          </w:tcPr>
          <w:p w14:paraId="7125F7CC" w14:textId="77777777" w:rsidR="004C6ABD" w:rsidRDefault="0071233E" w:rsidP="0071233E">
            <w:pPr>
              <w:spacing w:before="40" w:after="40"/>
            </w:pPr>
            <w:r>
              <w:t xml:space="preserve">LM Clerk / Premises Committee supervising </w:t>
            </w:r>
          </w:p>
          <w:p w14:paraId="194FA166" w14:textId="77777777" w:rsidR="004C6ABD" w:rsidRDefault="0071233E" w:rsidP="0068699E">
            <w:pPr>
              <w:pStyle w:val="ListParagraph"/>
              <w:numPr>
                <w:ilvl w:val="0"/>
                <w:numId w:val="10"/>
              </w:numPr>
              <w:spacing w:before="40" w:after="40"/>
              <w:ind w:left="290" w:hanging="290"/>
            </w:pPr>
            <w:r>
              <w:t>volunteer</w:t>
            </w:r>
            <w:r w:rsidR="004C6ABD">
              <w:t>s or</w:t>
            </w:r>
            <w:r>
              <w:t xml:space="preserve"> </w:t>
            </w:r>
          </w:p>
          <w:p w14:paraId="0DF9ED9D" w14:textId="68409819" w:rsidR="0071233E" w:rsidRDefault="004C6ABD" w:rsidP="0068699E">
            <w:pPr>
              <w:pStyle w:val="ListParagraph"/>
              <w:numPr>
                <w:ilvl w:val="0"/>
                <w:numId w:val="10"/>
              </w:numPr>
              <w:spacing w:before="40" w:after="40"/>
              <w:ind w:left="290" w:hanging="290"/>
            </w:pPr>
            <w:r>
              <w:t xml:space="preserve">volunteer </w:t>
            </w:r>
            <w:r w:rsidR="0071233E">
              <w:t>meetinghouse wardens</w:t>
            </w:r>
          </w:p>
        </w:tc>
        <w:tc>
          <w:tcPr>
            <w:tcW w:w="9072" w:type="dxa"/>
            <w:gridSpan w:val="2"/>
            <w:vAlign w:val="center"/>
          </w:tcPr>
          <w:p w14:paraId="2EFB944E" w14:textId="45F7E2F7" w:rsidR="0071233E" w:rsidRDefault="0071233E" w:rsidP="0071233E">
            <w:pPr>
              <w:spacing w:before="40" w:after="40"/>
            </w:pPr>
            <w:r>
              <w:t>Follow the NSW RM Volunteers Policy guidelines</w:t>
            </w:r>
          </w:p>
          <w:p w14:paraId="738E01F0" w14:textId="7830E6F2" w:rsidR="0071233E" w:rsidRDefault="0071233E" w:rsidP="0071233E">
            <w:pPr>
              <w:spacing w:before="40" w:after="40"/>
            </w:pPr>
            <w:r>
              <w:t xml:space="preserve">Documents can be found on the RM Governance </w:t>
            </w:r>
            <w:commentRangeStart w:id="2"/>
            <w:r>
              <w:t xml:space="preserve">webpage </w:t>
            </w:r>
            <w:hyperlink r:id="rId12" w:history="1">
              <w:r w:rsidRPr="00886939">
                <w:rPr>
                  <w:rStyle w:val="Hyperlink"/>
                </w:rPr>
                <w:t>https://www.quakersaustralia.info/organisation/regional-meetings/new-south-wales-regional-meeting/governance</w:t>
              </w:r>
            </w:hyperlink>
            <w:commentRangeEnd w:id="2"/>
            <w:r>
              <w:rPr>
                <w:rStyle w:val="CommentReference"/>
              </w:rPr>
              <w:commentReference w:id="2"/>
            </w:r>
            <w:r>
              <w:t xml:space="preserve"> </w:t>
            </w:r>
          </w:p>
          <w:p w14:paraId="481D699D" w14:textId="3B7B450D" w:rsidR="0071233E" w:rsidRDefault="0071233E" w:rsidP="0071233E">
            <w:pPr>
              <w:spacing w:before="40" w:after="40"/>
            </w:pPr>
            <w:r>
              <w:t>Note that certain conditions must be met for the warden to be legally classed as a volunteer, regardless what title we apply to them. If they do not meet these conditions, NSW RM will be liable for employment benefits and tax withholding requirements.</w:t>
            </w:r>
          </w:p>
        </w:tc>
      </w:tr>
      <w:tr w:rsidR="0071233E" w14:paraId="012A9597" w14:textId="77777777" w:rsidTr="018F3364">
        <w:trPr>
          <w:gridAfter w:val="1"/>
          <w:wAfter w:w="142" w:type="dxa"/>
          <w:trHeight w:val="5094"/>
        </w:trPr>
        <w:tc>
          <w:tcPr>
            <w:tcW w:w="1838" w:type="dxa"/>
            <w:vMerge w:val="restart"/>
            <w:vAlign w:val="center"/>
          </w:tcPr>
          <w:p w14:paraId="4F123353" w14:textId="39D513C6" w:rsidR="0071233E" w:rsidRDefault="0071233E" w:rsidP="0071233E">
            <w:pPr>
              <w:spacing w:before="40" w:after="40"/>
            </w:pPr>
            <w:r>
              <w:lastRenderedPageBreak/>
              <w:t>Duty of Care</w:t>
            </w:r>
          </w:p>
        </w:tc>
        <w:tc>
          <w:tcPr>
            <w:tcW w:w="1559" w:type="dxa"/>
            <w:vAlign w:val="center"/>
          </w:tcPr>
          <w:p w14:paraId="0847DB09" w14:textId="77777777" w:rsidR="0071233E" w:rsidRDefault="0071233E" w:rsidP="0071233E">
            <w:pPr>
              <w:spacing w:before="40" w:after="40"/>
            </w:pPr>
            <w:r>
              <w:t>Ongoing</w:t>
            </w:r>
          </w:p>
        </w:tc>
        <w:tc>
          <w:tcPr>
            <w:tcW w:w="1560" w:type="dxa"/>
            <w:vAlign w:val="center"/>
          </w:tcPr>
          <w:p w14:paraId="47AAA09E" w14:textId="303D11E7" w:rsidR="0071233E" w:rsidRDefault="018F3364" w:rsidP="0071233E">
            <w:pPr>
              <w:spacing w:before="40" w:after="40"/>
            </w:pPr>
            <w:r>
              <w:t>LM Clerk / Premises Committee</w:t>
            </w:r>
          </w:p>
        </w:tc>
        <w:tc>
          <w:tcPr>
            <w:tcW w:w="8930" w:type="dxa"/>
            <w:vAlign w:val="center"/>
          </w:tcPr>
          <w:p w14:paraId="77E097A6" w14:textId="101517F3" w:rsidR="0071233E" w:rsidRDefault="0071233E" w:rsidP="00AF29E7">
            <w:pPr>
              <w:pStyle w:val="ListParagraph"/>
              <w:numPr>
                <w:ilvl w:val="0"/>
                <w:numId w:val="1"/>
              </w:numPr>
              <w:spacing w:before="60" w:after="60"/>
              <w:ind w:left="714" w:hanging="357"/>
            </w:pPr>
            <w:r>
              <w:t xml:space="preserve">Conduct and document </w:t>
            </w:r>
            <w:r w:rsidRPr="00035F52">
              <w:rPr>
                <w:b/>
              </w:rPr>
              <w:t>monthly site safety</w:t>
            </w:r>
            <w:r w:rsidRPr="00B0464A">
              <w:rPr>
                <w:b/>
              </w:rPr>
              <w:t xml:space="preserve"> inspections</w:t>
            </w:r>
            <w:r>
              <w:t xml:space="preserve">. Retain documentation </w:t>
            </w:r>
            <w:r w:rsidR="00553C22">
              <w:t>for 7 years</w:t>
            </w:r>
            <w:r>
              <w:t>. Checklists make this easier.</w:t>
            </w:r>
          </w:p>
          <w:p w14:paraId="127AEEEF" w14:textId="32EDA5F2" w:rsidR="00553C22" w:rsidRDefault="00553C22" w:rsidP="00AF29E7">
            <w:pPr>
              <w:pStyle w:val="ListParagraph"/>
              <w:numPr>
                <w:ilvl w:val="0"/>
                <w:numId w:val="1"/>
              </w:numPr>
              <w:spacing w:before="60" w:after="60"/>
              <w:ind w:left="714" w:hanging="357"/>
            </w:pPr>
            <w:r>
              <w:t>Ensure safety hazards are identified, reported, and rectified (Hazard report form, Incident report form).</w:t>
            </w:r>
          </w:p>
          <w:p w14:paraId="52C7160D" w14:textId="328E0506" w:rsidR="00553C22" w:rsidRDefault="018F3364" w:rsidP="00AF29E7">
            <w:pPr>
              <w:pStyle w:val="ListParagraph"/>
              <w:numPr>
                <w:ilvl w:val="0"/>
                <w:numId w:val="1"/>
              </w:numPr>
              <w:spacing w:before="60" w:after="60"/>
              <w:ind w:left="714" w:hanging="357"/>
            </w:pPr>
            <w:r>
              <w:t>Ensure an annual emergency drill is organised and performed.</w:t>
            </w:r>
          </w:p>
          <w:p w14:paraId="7E26BBBA" w14:textId="6EE835A0" w:rsidR="0071233E" w:rsidRPr="00216D11" w:rsidRDefault="018F3364" w:rsidP="00AF29E7">
            <w:pPr>
              <w:pStyle w:val="ListParagraph"/>
              <w:numPr>
                <w:ilvl w:val="0"/>
                <w:numId w:val="1"/>
              </w:numPr>
              <w:spacing w:before="60" w:after="60"/>
              <w:ind w:left="714" w:hanging="357"/>
            </w:pPr>
            <w:r>
              <w:t xml:space="preserve">Conduct and document an </w:t>
            </w:r>
            <w:r w:rsidRPr="018F3364">
              <w:rPr>
                <w:b/>
                <w:bCs/>
              </w:rPr>
              <w:t>annual Health &amp; Safety Risk Assessment</w:t>
            </w:r>
            <w:r>
              <w:t>. Send report to RM clerk, retain copy indefinitely. Template documents are available from the RM governance web page.</w:t>
            </w:r>
          </w:p>
          <w:p w14:paraId="2EFCDBA9" w14:textId="3534411B" w:rsidR="0071233E" w:rsidRDefault="0071233E" w:rsidP="00AF29E7">
            <w:pPr>
              <w:pStyle w:val="ListParagraph"/>
              <w:numPr>
                <w:ilvl w:val="0"/>
                <w:numId w:val="1"/>
              </w:numPr>
              <w:spacing w:before="60" w:after="60"/>
              <w:ind w:left="714" w:hanging="357"/>
            </w:pPr>
            <w:r w:rsidRPr="00216D11">
              <w:t xml:space="preserve">Ensure </w:t>
            </w:r>
            <w:r w:rsidRPr="00216D11">
              <w:rPr>
                <w:b/>
              </w:rPr>
              <w:t>venue hirers</w:t>
            </w:r>
            <w:r w:rsidRPr="00216D11">
              <w:t xml:space="preserve"> have signed agreements (a template agreement is available from the RM clerk</w:t>
            </w:r>
            <w:r>
              <w:t xml:space="preserve"> which should be adapted to the LM’s needs</w:t>
            </w:r>
            <w:r w:rsidRPr="00216D11">
              <w:t>). Venue hirers must provide proof of their liability insurance. Ensure venue hirers have a safety induction</w:t>
            </w:r>
            <w:r>
              <w:t>.</w:t>
            </w:r>
          </w:p>
          <w:p w14:paraId="36BF6E50" w14:textId="73AC0C8F" w:rsidR="0071233E" w:rsidRDefault="0071233E" w:rsidP="00AF29E7">
            <w:pPr>
              <w:pStyle w:val="ListParagraph"/>
              <w:numPr>
                <w:ilvl w:val="0"/>
                <w:numId w:val="1"/>
              </w:numPr>
              <w:spacing w:before="60" w:after="60"/>
              <w:ind w:left="714" w:hanging="357"/>
            </w:pPr>
            <w:r>
              <w:t xml:space="preserve">Ensure </w:t>
            </w:r>
            <w:r w:rsidRPr="00AE132D">
              <w:rPr>
                <w:b/>
              </w:rPr>
              <w:t>guests &amp; tenants</w:t>
            </w:r>
            <w:r>
              <w:t xml:space="preserve"> have a safety induction on their arrival. This can be done using a room book or other written information. Tenants should have a written, signed tenancy agreement in place as well.</w:t>
            </w:r>
          </w:p>
          <w:p w14:paraId="53881A35" w14:textId="6F129D27" w:rsidR="0071233E" w:rsidRDefault="0071233E" w:rsidP="00AF29E7">
            <w:pPr>
              <w:pStyle w:val="ListParagraph"/>
              <w:numPr>
                <w:ilvl w:val="0"/>
                <w:numId w:val="1"/>
              </w:numPr>
              <w:spacing w:before="60" w:after="60"/>
              <w:ind w:left="714" w:hanging="357"/>
            </w:pPr>
            <w:r>
              <w:t xml:space="preserve">Ensure </w:t>
            </w:r>
            <w:r w:rsidRPr="00AE132D">
              <w:rPr>
                <w:b/>
              </w:rPr>
              <w:t>contractors</w:t>
            </w:r>
            <w:r>
              <w:t xml:space="preserve"> have a basic safety induction and complete the </w:t>
            </w:r>
            <w:hyperlink r:id="rId13" w:history="1">
              <w:r w:rsidRPr="004C2003">
                <w:rPr>
                  <w:rStyle w:val="Hyperlink"/>
                </w:rPr>
                <w:t xml:space="preserve">Contractor WHS </w:t>
              </w:r>
              <w:r>
                <w:rPr>
                  <w:rStyle w:val="Hyperlink"/>
                </w:rPr>
                <w:t>S</w:t>
              </w:r>
              <w:r w:rsidRPr="004C2003">
                <w:rPr>
                  <w:rStyle w:val="Hyperlink"/>
                </w:rPr>
                <w:t xml:space="preserve">tandards </w:t>
              </w:r>
              <w:r>
                <w:rPr>
                  <w:rStyle w:val="Hyperlink"/>
                </w:rPr>
                <w:t>A</w:t>
              </w:r>
              <w:r w:rsidRPr="004C2003">
                <w:rPr>
                  <w:rStyle w:val="Hyperlink"/>
                </w:rPr>
                <w:t>greement</w:t>
              </w:r>
            </w:hyperlink>
            <w:r>
              <w:t xml:space="preserve"> prior to their commencing work on site.</w:t>
            </w:r>
          </w:p>
          <w:p w14:paraId="7707CC03" w14:textId="294C6C35" w:rsidR="0071233E" w:rsidRDefault="018F3364" w:rsidP="00AF29E7">
            <w:pPr>
              <w:pStyle w:val="ListParagraph"/>
              <w:numPr>
                <w:ilvl w:val="0"/>
                <w:numId w:val="1"/>
              </w:numPr>
              <w:spacing w:before="60" w:after="60"/>
              <w:ind w:left="714" w:hanging="357"/>
            </w:pPr>
            <w:r>
              <w:t xml:space="preserve">Ensure </w:t>
            </w:r>
            <w:r w:rsidRPr="018F3364">
              <w:rPr>
                <w:b/>
                <w:bCs/>
              </w:rPr>
              <w:t>employees</w:t>
            </w:r>
            <w:r>
              <w:t xml:space="preserve"> and </w:t>
            </w:r>
            <w:r w:rsidRPr="018F3364">
              <w:rPr>
                <w:b/>
                <w:bCs/>
              </w:rPr>
              <w:t>volunteers</w:t>
            </w:r>
            <w:r>
              <w:t xml:space="preserve"> have a safety induction on their first day of work and a safe work environment, including safe relationships. Notify WorkSafe of any serious / notifiable incidents, with concurrent notification of the RM clerk.</w:t>
            </w:r>
          </w:p>
        </w:tc>
      </w:tr>
      <w:tr w:rsidR="0071233E" w14:paraId="4F8048B6" w14:textId="77777777" w:rsidTr="018F3364">
        <w:trPr>
          <w:gridAfter w:val="1"/>
          <w:wAfter w:w="142" w:type="dxa"/>
          <w:trHeight w:val="2400"/>
        </w:trPr>
        <w:tc>
          <w:tcPr>
            <w:tcW w:w="1838" w:type="dxa"/>
            <w:vMerge/>
            <w:vAlign w:val="center"/>
          </w:tcPr>
          <w:p w14:paraId="59B97721" w14:textId="77777777" w:rsidR="0071233E" w:rsidRDefault="0071233E" w:rsidP="0071233E">
            <w:pPr>
              <w:spacing w:before="40" w:after="40"/>
            </w:pPr>
          </w:p>
        </w:tc>
        <w:tc>
          <w:tcPr>
            <w:tcW w:w="1559" w:type="dxa"/>
            <w:vAlign w:val="center"/>
          </w:tcPr>
          <w:p w14:paraId="3B1C0C73" w14:textId="77777777" w:rsidR="0071233E" w:rsidRDefault="0071233E" w:rsidP="0071233E">
            <w:pPr>
              <w:spacing w:before="40" w:after="40"/>
            </w:pPr>
            <w:r>
              <w:t>Ongoing</w:t>
            </w:r>
          </w:p>
        </w:tc>
        <w:tc>
          <w:tcPr>
            <w:tcW w:w="1560" w:type="dxa"/>
            <w:vAlign w:val="center"/>
          </w:tcPr>
          <w:p w14:paraId="3E166674" w14:textId="4BF9C968" w:rsidR="0071233E" w:rsidRDefault="0071233E" w:rsidP="0071233E">
            <w:pPr>
              <w:spacing w:before="40" w:after="40"/>
            </w:pPr>
            <w:r>
              <w:t>RM/ LM Clerk</w:t>
            </w:r>
          </w:p>
        </w:tc>
        <w:tc>
          <w:tcPr>
            <w:tcW w:w="8930" w:type="dxa"/>
            <w:vAlign w:val="center"/>
          </w:tcPr>
          <w:p w14:paraId="7C653F56" w14:textId="52465324" w:rsidR="0071233E" w:rsidRDefault="0071233E" w:rsidP="0071233E">
            <w:pPr>
              <w:spacing w:before="40" w:after="40"/>
            </w:pPr>
            <w:r>
              <w:t>Facilitate a culture of safety awareness to avoid preventable harm, including safe relationships.</w:t>
            </w:r>
          </w:p>
          <w:p w14:paraId="35716355" w14:textId="256403AC" w:rsidR="0071233E" w:rsidRDefault="018F3364" w:rsidP="0071233E">
            <w:pPr>
              <w:spacing w:before="40" w:after="40"/>
            </w:pPr>
            <w:r>
              <w:t xml:space="preserve">Be aware of AYM Safe Quaker Community resources and Grievance procedures available at </w:t>
            </w:r>
            <w:hyperlink r:id="rId14">
              <w:r w:rsidRPr="018F3364">
                <w:rPr>
                  <w:rStyle w:val="Hyperlink"/>
                </w:rPr>
                <w:t>https://www.quakersaustralia.info/resources/policies</w:t>
              </w:r>
            </w:hyperlink>
            <w:r>
              <w:t xml:space="preserve"> and in chap. 4 of the Handbook.</w:t>
            </w:r>
          </w:p>
          <w:p w14:paraId="3730357A" w14:textId="0C9A6421" w:rsidR="0071233E" w:rsidRDefault="0071233E" w:rsidP="0071233E">
            <w:pPr>
              <w:spacing w:before="40" w:after="40"/>
            </w:pPr>
            <w:r>
              <w:t>Immediately notify RM clerk / AYM Secretary of any serious or notifiable incidents</w:t>
            </w:r>
          </w:p>
        </w:tc>
      </w:tr>
    </w:tbl>
    <w:p w14:paraId="4B128049" w14:textId="000839F7" w:rsidR="00BA636E" w:rsidRDefault="00BA636E" w:rsidP="004D081E">
      <w:pPr>
        <w:spacing w:before="40" w:line="240" w:lineRule="auto"/>
      </w:pPr>
    </w:p>
    <w:sectPr w:rsidR="00BA636E" w:rsidSect="004D081E">
      <w:headerReference w:type="default" r:id="rId15"/>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heila Keane" w:date="2019-01-12T19:20:00Z" w:initials="SK">
    <w:p w14:paraId="1940B40D" w14:textId="7F36D09C" w:rsidR="0068699E" w:rsidRDefault="0068699E">
      <w:pPr>
        <w:pStyle w:val="CommentText"/>
      </w:pPr>
      <w:r>
        <w:rPr>
          <w:rStyle w:val="CommentReference"/>
        </w:rPr>
        <w:annotationRef/>
      </w:r>
      <w:r>
        <w:t>Insert link when website has been updated</w:t>
      </w:r>
    </w:p>
  </w:comment>
  <w:comment w:id="2" w:author="Sheila Keane" w:date="2018-12-30T17:21:00Z" w:initials="SK">
    <w:p w14:paraId="545DC97A" w14:textId="2C02FAE5" w:rsidR="0071233E" w:rsidRDefault="0071233E">
      <w:pPr>
        <w:pStyle w:val="CommentText"/>
      </w:pPr>
      <w:r>
        <w:rPr>
          <w:rStyle w:val="CommentReference"/>
        </w:rPr>
        <w:annotationRef/>
      </w:r>
      <w:r w:rsidR="00370D85">
        <w:t>Correct link when website has been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40B40D" w15:done="0"/>
  <w15:commentEx w15:paraId="545DC9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40B40D" w16cid:durableId="1FE4BC66"/>
  <w16cid:commentId w16cid:paraId="545DC97A" w16cid:durableId="1FD37D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DC3BC" w14:textId="77777777" w:rsidR="00EA3B50" w:rsidRDefault="00EA3B50">
      <w:pPr>
        <w:spacing w:after="0" w:line="240" w:lineRule="auto"/>
      </w:pPr>
      <w:r>
        <w:separator/>
      </w:r>
    </w:p>
  </w:endnote>
  <w:endnote w:type="continuationSeparator" w:id="0">
    <w:p w14:paraId="16B25523" w14:textId="77777777" w:rsidR="00EA3B50" w:rsidRDefault="00EA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5F44C" w14:textId="77777777" w:rsidR="00EA3B50" w:rsidRDefault="00EA3B50">
      <w:pPr>
        <w:spacing w:after="0" w:line="240" w:lineRule="auto"/>
      </w:pPr>
      <w:r>
        <w:separator/>
      </w:r>
    </w:p>
  </w:footnote>
  <w:footnote w:type="continuationSeparator" w:id="0">
    <w:p w14:paraId="41D31931" w14:textId="77777777" w:rsidR="00EA3B50" w:rsidRDefault="00EA3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73E84" w14:textId="77777777" w:rsidR="008F7800" w:rsidRDefault="00202039">
    <w:pPr>
      <w:pStyle w:val="Header"/>
    </w:pPr>
    <w:r>
      <w:t>The Religious Society of Friends (Quakers) New South Wales Regional Meeting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A86"/>
    <w:multiLevelType w:val="hybridMultilevel"/>
    <w:tmpl w:val="2930990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904721"/>
    <w:multiLevelType w:val="hybridMultilevel"/>
    <w:tmpl w:val="F29A98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2A7451"/>
    <w:multiLevelType w:val="hybridMultilevel"/>
    <w:tmpl w:val="372611AA"/>
    <w:lvl w:ilvl="0" w:tplc="0C090003">
      <w:start w:val="1"/>
      <w:numFmt w:val="bullet"/>
      <w:lvlText w:val="o"/>
      <w:lvlJc w:val="left"/>
      <w:pPr>
        <w:ind w:left="1800" w:hanging="360"/>
      </w:pPr>
      <w:rPr>
        <w:rFonts w:ascii="Courier New" w:hAnsi="Courier New" w:cs="Courier New"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11175A7C"/>
    <w:multiLevelType w:val="hybridMultilevel"/>
    <w:tmpl w:val="17A8D9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3030A91"/>
    <w:multiLevelType w:val="hybridMultilevel"/>
    <w:tmpl w:val="3468F144"/>
    <w:lvl w:ilvl="0" w:tplc="04440390">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A3FDB"/>
    <w:multiLevelType w:val="hybridMultilevel"/>
    <w:tmpl w:val="90C67746"/>
    <w:lvl w:ilvl="0" w:tplc="4AD68520">
      <w:start w:val="1"/>
      <w:numFmt w:val="decimal"/>
      <w:lvlText w:val="%1."/>
      <w:lvlJc w:val="left"/>
      <w:pPr>
        <w:ind w:left="508" w:hanging="360"/>
      </w:pPr>
      <w:rPr>
        <w:rFonts w:hint="default"/>
      </w:rPr>
    </w:lvl>
    <w:lvl w:ilvl="1" w:tplc="0C090019" w:tentative="1">
      <w:start w:val="1"/>
      <w:numFmt w:val="lowerLetter"/>
      <w:lvlText w:val="%2."/>
      <w:lvlJc w:val="left"/>
      <w:pPr>
        <w:ind w:left="1228" w:hanging="360"/>
      </w:pPr>
    </w:lvl>
    <w:lvl w:ilvl="2" w:tplc="0C09001B" w:tentative="1">
      <w:start w:val="1"/>
      <w:numFmt w:val="lowerRoman"/>
      <w:lvlText w:val="%3."/>
      <w:lvlJc w:val="right"/>
      <w:pPr>
        <w:ind w:left="1948" w:hanging="180"/>
      </w:pPr>
    </w:lvl>
    <w:lvl w:ilvl="3" w:tplc="0C09000F" w:tentative="1">
      <w:start w:val="1"/>
      <w:numFmt w:val="decimal"/>
      <w:lvlText w:val="%4."/>
      <w:lvlJc w:val="left"/>
      <w:pPr>
        <w:ind w:left="2668" w:hanging="360"/>
      </w:pPr>
    </w:lvl>
    <w:lvl w:ilvl="4" w:tplc="0C090019" w:tentative="1">
      <w:start w:val="1"/>
      <w:numFmt w:val="lowerLetter"/>
      <w:lvlText w:val="%5."/>
      <w:lvlJc w:val="left"/>
      <w:pPr>
        <w:ind w:left="3388" w:hanging="360"/>
      </w:pPr>
    </w:lvl>
    <w:lvl w:ilvl="5" w:tplc="0C09001B" w:tentative="1">
      <w:start w:val="1"/>
      <w:numFmt w:val="lowerRoman"/>
      <w:lvlText w:val="%6."/>
      <w:lvlJc w:val="right"/>
      <w:pPr>
        <w:ind w:left="4108" w:hanging="180"/>
      </w:pPr>
    </w:lvl>
    <w:lvl w:ilvl="6" w:tplc="0C09000F" w:tentative="1">
      <w:start w:val="1"/>
      <w:numFmt w:val="decimal"/>
      <w:lvlText w:val="%7."/>
      <w:lvlJc w:val="left"/>
      <w:pPr>
        <w:ind w:left="4828" w:hanging="360"/>
      </w:pPr>
    </w:lvl>
    <w:lvl w:ilvl="7" w:tplc="0C090019" w:tentative="1">
      <w:start w:val="1"/>
      <w:numFmt w:val="lowerLetter"/>
      <w:lvlText w:val="%8."/>
      <w:lvlJc w:val="left"/>
      <w:pPr>
        <w:ind w:left="5548" w:hanging="360"/>
      </w:pPr>
    </w:lvl>
    <w:lvl w:ilvl="8" w:tplc="0C09001B" w:tentative="1">
      <w:start w:val="1"/>
      <w:numFmt w:val="lowerRoman"/>
      <w:lvlText w:val="%9."/>
      <w:lvlJc w:val="right"/>
      <w:pPr>
        <w:ind w:left="6268" w:hanging="180"/>
      </w:pPr>
    </w:lvl>
  </w:abstractNum>
  <w:abstractNum w:abstractNumId="6" w15:restartNumberingAfterBreak="0">
    <w:nsid w:val="3CFA06DB"/>
    <w:multiLevelType w:val="hybridMultilevel"/>
    <w:tmpl w:val="F2CAB2E2"/>
    <w:lvl w:ilvl="0" w:tplc="0C09000F">
      <w:start w:val="1"/>
      <w:numFmt w:val="decimal"/>
      <w:lvlText w:val="%1."/>
      <w:lvlJc w:val="left"/>
      <w:pPr>
        <w:ind w:left="357" w:hanging="360"/>
      </w:pPr>
      <w:rPr>
        <w:rFonts w:hint="default"/>
      </w:rPr>
    </w:lvl>
    <w:lvl w:ilvl="1" w:tplc="0C090019">
      <w:start w:val="1"/>
      <w:numFmt w:val="lowerLetter"/>
      <w:lvlText w:val="%2."/>
      <w:lvlJc w:val="left"/>
      <w:pPr>
        <w:ind w:left="1077" w:hanging="360"/>
      </w:pPr>
    </w:lvl>
    <w:lvl w:ilvl="2" w:tplc="0C09001B">
      <w:start w:val="1"/>
      <w:numFmt w:val="lowerRoman"/>
      <w:lvlText w:val="%3."/>
      <w:lvlJc w:val="right"/>
      <w:pPr>
        <w:ind w:left="1797" w:hanging="180"/>
      </w:pPr>
    </w:lvl>
    <w:lvl w:ilvl="3" w:tplc="0C09000F" w:tentative="1">
      <w:start w:val="1"/>
      <w:numFmt w:val="decimal"/>
      <w:lvlText w:val="%4."/>
      <w:lvlJc w:val="left"/>
      <w:pPr>
        <w:ind w:left="2517" w:hanging="360"/>
      </w:pPr>
    </w:lvl>
    <w:lvl w:ilvl="4" w:tplc="0C090019" w:tentative="1">
      <w:start w:val="1"/>
      <w:numFmt w:val="lowerLetter"/>
      <w:lvlText w:val="%5."/>
      <w:lvlJc w:val="left"/>
      <w:pPr>
        <w:ind w:left="3237" w:hanging="360"/>
      </w:pPr>
    </w:lvl>
    <w:lvl w:ilvl="5" w:tplc="0C09001B" w:tentative="1">
      <w:start w:val="1"/>
      <w:numFmt w:val="lowerRoman"/>
      <w:lvlText w:val="%6."/>
      <w:lvlJc w:val="right"/>
      <w:pPr>
        <w:ind w:left="3957" w:hanging="180"/>
      </w:pPr>
    </w:lvl>
    <w:lvl w:ilvl="6" w:tplc="0C09000F" w:tentative="1">
      <w:start w:val="1"/>
      <w:numFmt w:val="decimal"/>
      <w:lvlText w:val="%7."/>
      <w:lvlJc w:val="left"/>
      <w:pPr>
        <w:ind w:left="4677" w:hanging="360"/>
      </w:pPr>
    </w:lvl>
    <w:lvl w:ilvl="7" w:tplc="0C090019" w:tentative="1">
      <w:start w:val="1"/>
      <w:numFmt w:val="lowerLetter"/>
      <w:lvlText w:val="%8."/>
      <w:lvlJc w:val="left"/>
      <w:pPr>
        <w:ind w:left="5397" w:hanging="360"/>
      </w:pPr>
    </w:lvl>
    <w:lvl w:ilvl="8" w:tplc="0C09001B" w:tentative="1">
      <w:start w:val="1"/>
      <w:numFmt w:val="lowerRoman"/>
      <w:lvlText w:val="%9."/>
      <w:lvlJc w:val="right"/>
      <w:pPr>
        <w:ind w:left="6117" w:hanging="180"/>
      </w:pPr>
    </w:lvl>
  </w:abstractNum>
  <w:abstractNum w:abstractNumId="7" w15:restartNumberingAfterBreak="0">
    <w:nsid w:val="4AE31F2B"/>
    <w:multiLevelType w:val="hybridMultilevel"/>
    <w:tmpl w:val="DF762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4A177A"/>
    <w:multiLevelType w:val="hybridMultilevel"/>
    <w:tmpl w:val="CD0CF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421EC8"/>
    <w:multiLevelType w:val="hybridMultilevel"/>
    <w:tmpl w:val="2FE606D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85F3F80"/>
    <w:multiLevelType w:val="hybridMultilevel"/>
    <w:tmpl w:val="8864FF06"/>
    <w:lvl w:ilvl="0" w:tplc="04440390">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CB471E"/>
    <w:multiLevelType w:val="hybridMultilevel"/>
    <w:tmpl w:val="38EE54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37B1785"/>
    <w:multiLevelType w:val="hybridMultilevel"/>
    <w:tmpl w:val="75AE10EE"/>
    <w:lvl w:ilvl="0" w:tplc="04440390">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0"/>
  </w:num>
  <w:num w:numId="4">
    <w:abstractNumId w:val="4"/>
  </w:num>
  <w:num w:numId="5">
    <w:abstractNumId w:val="6"/>
  </w:num>
  <w:num w:numId="6">
    <w:abstractNumId w:val="2"/>
  </w:num>
  <w:num w:numId="7">
    <w:abstractNumId w:val="0"/>
  </w:num>
  <w:num w:numId="8">
    <w:abstractNumId w:val="11"/>
  </w:num>
  <w:num w:numId="9">
    <w:abstractNumId w:val="9"/>
  </w:num>
  <w:num w:numId="10">
    <w:abstractNumId w:val="3"/>
  </w:num>
  <w:num w:numId="11">
    <w:abstractNumId w:val="8"/>
  </w:num>
  <w:num w:numId="12">
    <w:abstractNumId w:val="1"/>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eila Keane">
    <w15:presenceInfo w15:providerId="Windows Live" w15:userId="f295b1cf57cec1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B87"/>
    <w:rsid w:val="00035F52"/>
    <w:rsid w:val="00090736"/>
    <w:rsid w:val="00111574"/>
    <w:rsid w:val="00202039"/>
    <w:rsid w:val="003073AA"/>
    <w:rsid w:val="00370D85"/>
    <w:rsid w:val="003B11E7"/>
    <w:rsid w:val="004B1246"/>
    <w:rsid w:val="004B5854"/>
    <w:rsid w:val="004C6ABD"/>
    <w:rsid w:val="004D081E"/>
    <w:rsid w:val="00553C22"/>
    <w:rsid w:val="005905E3"/>
    <w:rsid w:val="0060485B"/>
    <w:rsid w:val="00640DDD"/>
    <w:rsid w:val="00655E37"/>
    <w:rsid w:val="0068699E"/>
    <w:rsid w:val="0071233E"/>
    <w:rsid w:val="00727589"/>
    <w:rsid w:val="00787A1A"/>
    <w:rsid w:val="00827599"/>
    <w:rsid w:val="009A424D"/>
    <w:rsid w:val="00AB7B87"/>
    <w:rsid w:val="00AE132D"/>
    <w:rsid w:val="00AF29E7"/>
    <w:rsid w:val="00BA636E"/>
    <w:rsid w:val="00C05C79"/>
    <w:rsid w:val="00CB4B57"/>
    <w:rsid w:val="00CC0BF1"/>
    <w:rsid w:val="00EA3B50"/>
    <w:rsid w:val="00FB76A9"/>
    <w:rsid w:val="018F33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06ED"/>
  <w15:docId w15:val="{717BF3DE-768D-45D1-92E2-841315BB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B87"/>
  </w:style>
  <w:style w:type="paragraph" w:styleId="Heading1">
    <w:name w:val="heading 1"/>
    <w:basedOn w:val="Normal"/>
    <w:next w:val="Normal"/>
    <w:link w:val="Heading1Char"/>
    <w:uiPriority w:val="9"/>
    <w:qFormat/>
    <w:rsid w:val="00AB7B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B8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AB7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B87"/>
    <w:pPr>
      <w:spacing w:after="0" w:line="240" w:lineRule="auto"/>
      <w:ind w:left="720"/>
    </w:pPr>
    <w:rPr>
      <w:rFonts w:ascii="Calibri" w:hAnsi="Calibri" w:cs="Calibri"/>
      <w:color w:val="000000"/>
      <w:lang w:eastAsia="en-AU"/>
    </w:rPr>
  </w:style>
  <w:style w:type="character" w:styleId="CommentReference">
    <w:name w:val="annotation reference"/>
    <w:basedOn w:val="DefaultParagraphFont"/>
    <w:uiPriority w:val="99"/>
    <w:semiHidden/>
    <w:unhideWhenUsed/>
    <w:rsid w:val="00AB7B87"/>
    <w:rPr>
      <w:sz w:val="16"/>
      <w:szCs w:val="16"/>
    </w:rPr>
  </w:style>
  <w:style w:type="paragraph" w:styleId="CommentText">
    <w:name w:val="annotation text"/>
    <w:basedOn w:val="Normal"/>
    <w:link w:val="CommentTextChar"/>
    <w:uiPriority w:val="99"/>
    <w:semiHidden/>
    <w:unhideWhenUsed/>
    <w:rsid w:val="00AB7B87"/>
    <w:pPr>
      <w:spacing w:line="240" w:lineRule="auto"/>
    </w:pPr>
    <w:rPr>
      <w:sz w:val="20"/>
      <w:szCs w:val="20"/>
    </w:rPr>
  </w:style>
  <w:style w:type="character" w:customStyle="1" w:styleId="CommentTextChar">
    <w:name w:val="Comment Text Char"/>
    <w:basedOn w:val="DefaultParagraphFont"/>
    <w:link w:val="CommentText"/>
    <w:uiPriority w:val="99"/>
    <w:semiHidden/>
    <w:rsid w:val="00AB7B87"/>
    <w:rPr>
      <w:sz w:val="20"/>
      <w:szCs w:val="20"/>
    </w:rPr>
  </w:style>
  <w:style w:type="paragraph" w:styleId="BalloonText">
    <w:name w:val="Balloon Text"/>
    <w:basedOn w:val="Normal"/>
    <w:link w:val="BalloonTextChar"/>
    <w:uiPriority w:val="99"/>
    <w:semiHidden/>
    <w:unhideWhenUsed/>
    <w:rsid w:val="00AB7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B87"/>
    <w:rPr>
      <w:rFonts w:ascii="Segoe UI" w:hAnsi="Segoe UI" w:cs="Segoe UI"/>
      <w:sz w:val="18"/>
      <w:szCs w:val="18"/>
    </w:rPr>
  </w:style>
  <w:style w:type="paragraph" w:styleId="Header">
    <w:name w:val="header"/>
    <w:basedOn w:val="Normal"/>
    <w:link w:val="HeaderChar"/>
    <w:uiPriority w:val="99"/>
    <w:unhideWhenUsed/>
    <w:rsid w:val="00590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5E3"/>
  </w:style>
  <w:style w:type="paragraph" w:styleId="CommentSubject">
    <w:name w:val="annotation subject"/>
    <w:basedOn w:val="CommentText"/>
    <w:next w:val="CommentText"/>
    <w:link w:val="CommentSubjectChar"/>
    <w:uiPriority w:val="99"/>
    <w:semiHidden/>
    <w:unhideWhenUsed/>
    <w:rsid w:val="00827599"/>
    <w:rPr>
      <w:b/>
      <w:bCs/>
    </w:rPr>
  </w:style>
  <w:style w:type="character" w:customStyle="1" w:styleId="CommentSubjectChar">
    <w:name w:val="Comment Subject Char"/>
    <w:basedOn w:val="CommentTextChar"/>
    <w:link w:val="CommentSubject"/>
    <w:uiPriority w:val="99"/>
    <w:semiHidden/>
    <w:rsid w:val="00827599"/>
    <w:rPr>
      <w:b/>
      <w:bCs/>
      <w:sz w:val="20"/>
      <w:szCs w:val="20"/>
    </w:rPr>
  </w:style>
  <w:style w:type="character" w:styleId="Hyperlink">
    <w:name w:val="Hyperlink"/>
    <w:basedOn w:val="DefaultParagraphFont"/>
    <w:uiPriority w:val="99"/>
    <w:unhideWhenUsed/>
    <w:rsid w:val="00090736"/>
    <w:rPr>
      <w:color w:val="0563C1" w:themeColor="hyperlink"/>
      <w:u w:val="single"/>
    </w:rPr>
  </w:style>
  <w:style w:type="character" w:customStyle="1" w:styleId="UnresolvedMention1">
    <w:name w:val="Unresolved Mention1"/>
    <w:basedOn w:val="DefaultParagraphFont"/>
    <w:uiPriority w:val="99"/>
    <w:semiHidden/>
    <w:unhideWhenUsed/>
    <w:rsid w:val="00090736"/>
    <w:rPr>
      <w:color w:val="605E5C"/>
      <w:shd w:val="clear" w:color="auto" w:fill="E1DFDD"/>
    </w:rPr>
  </w:style>
  <w:style w:type="character" w:styleId="UnresolvedMention">
    <w:name w:val="Unresolved Mention"/>
    <w:basedOn w:val="DefaultParagraphFont"/>
    <w:uiPriority w:val="99"/>
    <w:semiHidden/>
    <w:unhideWhenUsed/>
    <w:rsid w:val="00686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dm.nsw.gov.au/Pages/marriages-relationships/marriages-relationships-nsw.aspx" TargetMode="External"/><Relationship Id="rId13" Type="http://schemas.openxmlformats.org/officeDocument/2006/relationships/hyperlink" Target="https://drive.google.com/drive/folders/1ayzBZUsTJMhf6abI9ksIMRDh3PC2ec2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uakersaustralia.info/organisation/regional-meetings/new-south-wales-regional-meeting/governance" TargetMode="External"/><Relationship Id="rId12" Type="http://schemas.openxmlformats.org/officeDocument/2006/relationships/hyperlink" Target="https://www.quakersaustralia.info/organisation/regional-meetings/new-south-wales-regional-meeting/governance"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eader" Target="header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s://www.quakersaustralia.info/resource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HomeOffice</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Keane</dc:creator>
  <cp:lastModifiedBy>G Duncan</cp:lastModifiedBy>
  <cp:revision>2</cp:revision>
  <dcterms:created xsi:type="dcterms:W3CDTF">2019-01-28T13:00:00Z</dcterms:created>
  <dcterms:modified xsi:type="dcterms:W3CDTF">2019-01-28T13:00:00Z</dcterms:modified>
</cp:coreProperties>
</file>